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val="en-US" w:eastAsia="zh-CN"/>
        </w:rPr>
        <w:t>盈江县2024</w:t>
      </w:r>
      <w:r>
        <w:rPr>
          <w:rFonts w:hint="default" w:ascii="Times New Roman" w:hAnsi="Times New Roman" w:eastAsia="方正小标宋_GBK" w:cs="Times New Roman"/>
          <w:sz w:val="44"/>
          <w:szCs w:val="44"/>
        </w:rPr>
        <w:t>年农机购置与应用补贴实施方案</w:t>
      </w:r>
    </w:p>
    <w:p>
      <w:pPr>
        <w:pStyle w:val="2"/>
        <w:ind w:left="0" w:leftChars="0" w:firstLine="0" w:firstLineChars="0"/>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（征求意见稿）</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为确保盈江县农机购置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补贴政策规范、有序、高效、安全实施，充分发挥</w:t>
      </w:r>
      <w:r>
        <w:rPr>
          <w:rFonts w:hint="default" w:ascii="Times New Roman" w:hAnsi="Times New Roman" w:eastAsia="方正仿宋_GBK" w:cs="Times New Roman"/>
          <w:sz w:val="32"/>
          <w:szCs w:val="32"/>
          <w:lang w:eastAsia="zh-CN"/>
        </w:rPr>
        <w:t>农机购置与应用补贴</w:t>
      </w:r>
      <w:r>
        <w:rPr>
          <w:rFonts w:hint="default" w:ascii="Times New Roman" w:hAnsi="Times New Roman" w:eastAsia="方正仿宋_GBK" w:cs="Times New Roman"/>
          <w:sz w:val="32"/>
          <w:szCs w:val="32"/>
        </w:rPr>
        <w:t>政策效益，使国家强农惠农政策落实到位，加快农机化发展步伐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根据《云南省202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补贴实施方案》云农机〔202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〕7号，结合盈江县的实际情况，制定本实施方案。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一、实施重点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val="en-US" w:eastAsia="en-US"/>
        </w:rPr>
        <w:t>突出稳产保供机具供给。</w:t>
      </w:r>
      <w:r>
        <w:rPr>
          <w:rFonts w:hint="default" w:ascii="Times New Roman" w:hAnsi="Times New Roman" w:eastAsia="方正仿宋_GBK" w:cs="Times New Roman"/>
          <w:sz w:val="32"/>
          <w:szCs w:val="32"/>
          <w:lang w:val="en-US" w:eastAsia="zh-CN"/>
        </w:rPr>
        <w:t>以保障粮食和重要农产品稳定安全供给为着力点，将更多先进适用机具有序纳入补贴范围，聚焦机播（机插）增产和机收减损，重点支持高性能播种机、大型智能高端联合收获机械等有助于粮油等主要作物大面积单产提升、丘陵山区农业生产急需、农机装备补短板、农业其他领域发展急需，以及事关国家重大战略实施的农业机械（以下统称“重点机具”）的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en-US"/>
        </w:rPr>
        <w:t>强化自主创新和安全可控。</w:t>
      </w:r>
      <w:r>
        <w:rPr>
          <w:rFonts w:hint="default" w:ascii="Times New Roman" w:hAnsi="Times New Roman" w:eastAsia="方正仿宋_GBK" w:cs="Times New Roman"/>
          <w:sz w:val="32"/>
          <w:szCs w:val="32"/>
          <w:lang w:val="en-US" w:eastAsia="zh-CN"/>
        </w:rPr>
        <w:t>加大宣传积极引导我县区域内的农机生产企业以推动农机产业自主安全可控和高质量发展为导向，按照省方案推进鉴定机制创新改革，农机鉴定“绿色通道”。科学规范采信农机产品质量认证和第三方机构检验检测结果，有力有效提升农机鉴定能力，加快推动具有自主知识产权的农机新产品取得补贴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val="en-US" w:eastAsia="en-US"/>
        </w:rPr>
        <w:t>推动实施推广应用创新。</w:t>
      </w:r>
      <w:r>
        <w:rPr>
          <w:rFonts w:hint="default" w:ascii="Times New Roman" w:hAnsi="Times New Roman" w:eastAsia="方正仿宋_GBK" w:cs="Times New Roman"/>
          <w:sz w:val="32"/>
          <w:szCs w:val="32"/>
          <w:lang w:val="en-US" w:eastAsia="zh-CN"/>
        </w:rPr>
        <w:t>根据省级主管部门的安排，积极探索农机购置与应用补贴试点，逐步推广与农机作业量挂钩的兑付补贴资金的操作方式；探索对参与防灾减灾的机具达到一定作业量后适当给予应用补贴的方式方法；持续实施好农机研发制造推广应用一体化试点，加快先进适用短板创新机具研发制造、熟化定型和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val="en-US" w:eastAsia="en-US"/>
        </w:rPr>
        <w:t>提高风险防控监管水平。</w:t>
      </w:r>
      <w:r>
        <w:rPr>
          <w:rFonts w:hint="default" w:ascii="Times New Roman" w:hAnsi="Times New Roman" w:eastAsia="方正仿宋_GBK" w:cs="Times New Roman"/>
          <w:sz w:val="32"/>
          <w:szCs w:val="32"/>
          <w:lang w:val="en-US" w:eastAsia="zh-CN"/>
        </w:rPr>
        <w:t>按照省级主管部门的相关要求，运用全国农机作业指挥调度平台及地方平台，推进补贴机具唯一身份识别和卫星定位辅助驾驶系统应用，发挥大数据信息优势，提升违规行为排查和监控能力，对群众反映问题较多、实际使用性能较差的机具，执行省级主管部门采取降低补贴标准或退出补贴范围的规定。强化属地管理责任和多部门联动，按照省、市、县三级监管机制，全流程加强补贴机具研产推用各环节监督管理。鼓励支持农机行业协会发挥引领行业自律功能，强化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val="en-US" w:eastAsia="en-US"/>
        </w:rPr>
        <w:t>提升补贴兑付满意度。</w:t>
      </w:r>
      <w:r>
        <w:rPr>
          <w:rFonts w:hint="default" w:ascii="Times New Roman" w:hAnsi="Times New Roman" w:eastAsia="方正仿宋_GBK" w:cs="Times New Roman"/>
          <w:sz w:val="32"/>
          <w:szCs w:val="32"/>
          <w:lang w:val="en-US" w:eastAsia="zh-CN"/>
        </w:rPr>
        <w:t>优化简化资金兑付流程，增加结算批次，推进补贴全流程线上办理，提高补贴办理便利性，确保及时兑付。加强补贴资金管理，落实专款专用要求，避免补贴资金超期不兑付、兑付慢的问题出现，探索建立加快补贴资金兑付的新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二、补贴范围和补贴机具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根据《云南省2024年-2026年农机购置与应用补贴实施方案》确定的补贴机具种类范围为21大类46个小类121个品目（详见附件1），实行敞开补贴。</w:t>
      </w:r>
      <w:r>
        <w:rPr>
          <w:rFonts w:hint="default" w:ascii="Times New Roman" w:hAnsi="Times New Roman" w:eastAsia="方正仿宋_GBK" w:cs="Times New Roman"/>
          <w:sz w:val="32"/>
          <w:szCs w:val="32"/>
          <w:lang w:eastAsia="zh-CN"/>
        </w:rPr>
        <w:t>补贴机具种类范围</w:t>
      </w:r>
      <w:r>
        <w:rPr>
          <w:rFonts w:hint="default" w:ascii="Times New Roman" w:hAnsi="Times New Roman" w:eastAsia="方正仿宋_GBK" w:cs="Times New Roman"/>
          <w:sz w:val="32"/>
          <w:szCs w:val="32"/>
          <w:lang w:val="en-US" w:eastAsia="zh-CN"/>
        </w:rPr>
        <w:t>如有调整，则按省级调整相关规定执行。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32"/>
          <w:lang w:val="en-US" w:eastAsia="en-US"/>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val="en-US" w:eastAsia="en-US"/>
        </w:rPr>
        <w:t>常规机具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常规机具必须是云南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面开展农用无人驾驶航空器购置补贴工作，按有关规定引导农用无人驾驶航空器在农业领域规范应用；补贴对象为从事农业生产的农民和农业生产经营组织；补贴操作要求与常规补贴产品保持一致，对产品及生产企业条件的相关要求，根据《无人驾驶航空器飞行管理暂行条例》调整。对于农用无人驾驶航空器补贴资质，仍按《云南省农业农村厅云 南省财政厅关于印发云南省植保无人飞机购置补贴试点方案的通知》（云农机〔2019〕8号）有关规定予以确定，如有调整，则按省级调整的相关规定执行。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32"/>
          <w:lang w:val="en-US" w:eastAsia="en-US"/>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en-US"/>
        </w:rPr>
        <w:t>农机创新产品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en-US"/>
        </w:rPr>
        <w:t>1.专项鉴定产品。</w:t>
      </w:r>
      <w:r>
        <w:rPr>
          <w:rFonts w:hint="default" w:ascii="Times New Roman" w:hAnsi="Times New Roman" w:eastAsia="方正仿宋_GBK" w:cs="Times New Roman"/>
          <w:sz w:val="32"/>
          <w:szCs w:val="32"/>
          <w:lang w:val="en-US" w:eastAsia="zh-CN"/>
        </w:rPr>
        <w:t>专项鉴定产品的补贴范围以省级主管部门列入补贴范围的产品为准，严格按照省农业农村厅的规定执行。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en-US"/>
        </w:rPr>
        <w:t>2.农机新产品。</w:t>
      </w:r>
      <w:r>
        <w:rPr>
          <w:rFonts w:hint="default" w:ascii="Times New Roman" w:hAnsi="Times New Roman" w:eastAsia="方正仿宋_GBK" w:cs="Times New Roman"/>
          <w:sz w:val="32"/>
          <w:szCs w:val="32"/>
          <w:lang w:val="en-US" w:eastAsia="zh-CN"/>
        </w:rPr>
        <w:t>农机新产品的补贴范围以省级主管部门发布的短板目录产品为准，严格按照省农业农村厅的规定执行。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除上述机具外，地方特色农业发展所需和小区域适用性强的机具，由州、县根据实际情况列入州、县级财政资金补贴范围，具体补贴机具品目和补贴标准由州、县研究确定，补贴额测算比例不超过35%，不得占用中央补贴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三、补贴对象和补贴</w:t>
      </w:r>
      <w:r>
        <w:rPr>
          <w:rFonts w:hint="default" w:ascii="Times New Roman" w:hAnsi="Times New Roman" w:eastAsia="方正黑体_GBK" w:cs="Times New Roman"/>
          <w:sz w:val="32"/>
          <w:szCs w:val="32"/>
          <w:lang w:eastAsia="zh-CN"/>
        </w:rPr>
        <w:t>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（一）补贴对象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补贴对象为从事农业生产的农民和农业生产经营组织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以下简称“购机者”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（二）补贴标准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分档测算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央财政农机购置与应用补贴实行定额补贴，即同一种类、同一档次农业机械在全省实行统一的补贴标准。在全国通用类农业机械中央财政资金最高补贴额一览表、区域非通用类农业机械最高补贴额建议一览表基础上，结合实际优化配置参数，制定发布补贴额一览表；依据同档产品上年市场销售均价测算确定各档次的补贴额，同时与其他省份同类同档产品的补贴额进行比对衔接，防止省际间同类同档产品补贴额差距过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2.补贴额测算比例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常规补贴机具的测算比例。补贴额测算比例不超过同类同档次产品上年市场销售均价的30%，通用类机具补贴额不超过农业农村部、财政部发布的最高补贴额。上年市场销售均价原则上通过云南省办理服务系统补贴数据测算，没有发现异常或违规问题的，可</w:t>
      </w:r>
      <w:r>
        <w:rPr>
          <w:rFonts w:hint="eastAsia" w:eastAsia="方正仿宋_GBK" w:cs="Times New Roman"/>
          <w:sz w:val="32"/>
          <w:szCs w:val="32"/>
          <w:lang w:eastAsia="zh-CN"/>
        </w:rPr>
        <w:t>沿</w:t>
      </w:r>
      <w:r>
        <w:rPr>
          <w:rFonts w:hint="default" w:ascii="Times New Roman" w:hAnsi="Times New Roman" w:eastAsia="方正仿宋_GBK" w:cs="Times New Roman"/>
          <w:sz w:val="32"/>
          <w:szCs w:val="32"/>
          <w:lang w:eastAsia="zh-CN"/>
        </w:rPr>
        <w:t>用上一年补贴标准。新增品目或上年补贴销售数据较少的品目，相关档次市场销售均价可通过市场调查获取，也可书面委托2家以上有资质的第三方开展专业价格评估、成本测算等方式获取。在充分考虑机具主要参数和成本情况基础上，结合全国和云南省情况对同档次机具价格进行摸底调查，合理进行测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补贴额提高机具的测算比例。按照农业农村部、财政部规定，围绕重点机具的推广应用，选择不超过10个品目且不超过20个档次的产品提高补贴额（含新能源农机），其补贴额测算比例提高至35%；其中，涉及的通用类品目机具可高于中央财政资金最高补贴额，幅度控制在最高补贴额的20%以内。动力机械补贴额测算比例不超过中央财政资金最高补贴额的20%。非通用类品目机具可高于上年度补贴额，幅度控制在上年度补贴额的20%以内。结合防灾减灾农机储备和调用制度，在严格控 制资金总量的前提下，对区域内严重不足、生产急需的移动式 烘干机、履带式拖拉机、履带式收获机，补贴额测算比例提高至40%，机具需纳入全国农机作业指挥调度平台统一管理，试 点方案需报农业农村部、财政部备案后实施。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3.单机补贴限额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除上述提高补贴额测算比例的机具外，一般补贴机具单机补贴限额原则上不超过5万元；挤奶机械、烘干机单机补贴限额不超过12万元；玉米去雄机、高性能青饲料收获机、大型免耕播种机、大型气力式播种机、大型联合收获机、大型水稻浸种催芽程控设备、畜禽粪污资源化利用机具单机补贴限额不超过15万元；100马力以上拖拉机单机补贴限额不超过10万元，200马力以上动力换挡或无级变速拖拉机单机补贴限额不超过 25万元，大喂入量联合收获机单机补贴限额不超过25万元；大型成套设施装备单套补贴限额不超过60万元。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4.补贴比例预警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在政策实施过程中，具体产品或具体档次的中央财政资金实际补贴比例在测算比例上下一定范围内浮动符合政策规定，不对外公布具体产品的补贴额。如发现具体产品或档次的中央财政资金实际补贴比例超过测算比例15个百分点以上的，属地农业农村部门应及时暂停该产品的补贴办理，会同本级财政部门结合实际情况组织调查核实，并将调查结果及时报送上级农业农村、财政部门。对有违规情节的，按相关规定处理；对无违规情节的补贴申请，可按原规定兑付补贴资金，并组织对相关产品及其所属档次补贴额进行评估，视情况及时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四、资金分配与使用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农机购置与应用补贴主要用于支持购置使用先进适用的农业机械，以及农机报废更新等方面。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（一）资金分配。</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《云南省财政厅关于提前下达2024年中央农业相关转移支付资金的通知》（云财农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203号）下达资金</w:t>
      </w:r>
      <w:r>
        <w:rPr>
          <w:rFonts w:hint="default" w:ascii="Times New Roman" w:hAnsi="Times New Roman" w:eastAsia="方正仿宋_GBK" w:cs="Times New Roman"/>
          <w:sz w:val="32"/>
          <w:szCs w:val="32"/>
          <w:lang w:val="en-US" w:eastAsia="zh-CN"/>
        </w:rPr>
        <w:t>633万元</w:t>
      </w:r>
      <w:r>
        <w:rPr>
          <w:rFonts w:hint="default" w:ascii="Times New Roman" w:hAnsi="Times New Roman" w:eastAsia="方正仿宋_GBK" w:cs="Times New Roman"/>
          <w:sz w:val="32"/>
          <w:szCs w:val="32"/>
          <w:lang w:eastAsia="zh-CN"/>
        </w:rPr>
        <w:t>、《云南省财政厅关于下达2024年中央农业产业发展资金（第二批）的通知》（云财农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lang w:eastAsia="zh-CN"/>
        </w:rPr>
        <w:t>号）下达资金</w:t>
      </w:r>
      <w:r>
        <w:rPr>
          <w:rFonts w:hint="default" w:ascii="Times New Roman" w:hAnsi="Times New Roman" w:eastAsia="方正仿宋_GBK" w:cs="Times New Roman"/>
          <w:sz w:val="32"/>
          <w:szCs w:val="32"/>
          <w:lang w:val="en-US" w:eastAsia="zh-CN"/>
        </w:rPr>
        <w:t>85万元。2024年</w:t>
      </w:r>
      <w:r>
        <w:rPr>
          <w:rFonts w:hint="default" w:ascii="Times New Roman" w:hAnsi="Times New Roman" w:eastAsia="方正仿宋_GBK" w:cs="Times New Roman"/>
          <w:sz w:val="32"/>
          <w:szCs w:val="32"/>
          <w:lang w:eastAsia="zh-CN"/>
        </w:rPr>
        <w:t>盈江县农机购置与运用补贴资金共下达</w:t>
      </w:r>
      <w:r>
        <w:rPr>
          <w:rFonts w:hint="default" w:ascii="Times New Roman" w:hAnsi="Times New Roman" w:eastAsia="方正仿宋_GBK" w:cs="Times New Roman"/>
          <w:sz w:val="32"/>
          <w:szCs w:val="32"/>
          <w:lang w:val="en-US" w:eastAsia="zh-CN"/>
        </w:rPr>
        <w:t>718万元，2023年盈江县</w:t>
      </w:r>
      <w:r>
        <w:rPr>
          <w:rFonts w:hint="default" w:ascii="Times New Roman" w:hAnsi="Times New Roman" w:eastAsia="方正仿宋_GBK" w:cs="Times New Roman"/>
          <w:sz w:val="32"/>
          <w:szCs w:val="32"/>
          <w:lang w:eastAsia="zh-CN"/>
        </w:rPr>
        <w:t>农机购置与运用补贴资金</w:t>
      </w:r>
      <w:r>
        <w:rPr>
          <w:rFonts w:hint="default" w:ascii="Times New Roman" w:hAnsi="Times New Roman" w:eastAsia="方正仿宋_GBK" w:cs="Times New Roman"/>
          <w:sz w:val="32"/>
          <w:szCs w:val="32"/>
          <w:lang w:val="en-US" w:eastAsia="zh-CN"/>
        </w:rPr>
        <w:t>结余8.8304万元，</w:t>
      </w:r>
      <w:r>
        <w:rPr>
          <w:rFonts w:hint="default" w:ascii="Times New Roman" w:hAnsi="Times New Roman" w:eastAsia="方正仿宋_GBK" w:cs="Times New Roman"/>
          <w:sz w:val="32"/>
          <w:szCs w:val="32"/>
        </w:rPr>
        <w:t>依据规定结余补贴资金流转到</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合并使用</w:t>
      </w:r>
      <w:r>
        <w:rPr>
          <w:rFonts w:hint="default" w:ascii="Times New Roman" w:hAnsi="Times New Roman" w:eastAsia="方正仿宋_GBK" w:cs="Times New Roman"/>
          <w:sz w:val="32"/>
          <w:szCs w:val="32"/>
          <w:lang w:val="en-US" w:eastAsia="zh-CN"/>
        </w:rPr>
        <w:t>。2024年盈江县</w:t>
      </w:r>
      <w:r>
        <w:rPr>
          <w:rFonts w:hint="default" w:ascii="Times New Roman" w:hAnsi="Times New Roman" w:eastAsia="方正仿宋_GBK" w:cs="Times New Roman"/>
          <w:sz w:val="32"/>
          <w:szCs w:val="32"/>
        </w:rPr>
        <w:t>可使用中央财政</w:t>
      </w:r>
      <w:r>
        <w:rPr>
          <w:rFonts w:hint="default" w:ascii="Times New Roman" w:hAnsi="Times New Roman" w:eastAsia="方正仿宋_GBK" w:cs="Times New Roman"/>
          <w:sz w:val="32"/>
          <w:szCs w:val="32"/>
          <w:lang w:eastAsia="zh-CN"/>
        </w:rPr>
        <w:t>农机购置与运用补贴资金</w:t>
      </w:r>
      <w:r>
        <w:rPr>
          <w:rFonts w:hint="default" w:ascii="Times New Roman" w:hAnsi="Times New Roman" w:eastAsia="方正仿宋_GBK" w:cs="Times New Roman"/>
          <w:sz w:val="32"/>
          <w:szCs w:val="32"/>
        </w:rPr>
        <w:t>共</w:t>
      </w:r>
      <w:r>
        <w:rPr>
          <w:rFonts w:hint="default" w:ascii="Times New Roman" w:hAnsi="Times New Roman" w:eastAsia="方正仿宋_GBK" w:cs="Times New Roman"/>
          <w:sz w:val="32"/>
          <w:szCs w:val="32"/>
          <w:lang w:val="en-US" w:eastAsia="zh-CN"/>
        </w:rPr>
        <w:t>726.8304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财政部门会同农业农村部门加强资金使用情况监测，定期调度和通报资金使用进度，督促优先使用结转资金，加快预算执行进度，并按需申请资金余缺调剂，确保不发生资金大量结转，促进资金使用实现两年动态紧平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en-US"/>
        </w:rPr>
        <w:t>农机创新产品资金分配与使用。</w:t>
      </w:r>
      <w:r>
        <w:rPr>
          <w:rFonts w:hint="default" w:ascii="Times New Roman" w:hAnsi="Times New Roman" w:eastAsia="方正仿宋_GBK" w:cs="Times New Roman"/>
          <w:sz w:val="32"/>
          <w:szCs w:val="32"/>
          <w:lang w:val="en-US" w:eastAsia="zh-CN"/>
        </w:rPr>
        <w:t>农机创新产品年度使用资金量按全省不超过年度中央财政资金总规模的15%执行。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val="en-US" w:eastAsia="en-US"/>
        </w:rPr>
        <w:t>组织开展创新试点</w:t>
      </w:r>
      <w:r>
        <w:rPr>
          <w:rFonts w:hint="default" w:ascii="Times New Roman" w:hAnsi="Times New Roman" w:eastAsia="方正楷体_GBK" w:cs="Times New Roman"/>
          <w:sz w:val="32"/>
          <w:szCs w:val="32"/>
          <w:lang w:val="en-US" w:eastAsia="zh-CN"/>
        </w:rPr>
        <w:t>。</w:t>
      </w:r>
      <w:r>
        <w:rPr>
          <w:rFonts w:hint="default" w:ascii="Times New Roman" w:hAnsi="Times New Roman" w:eastAsia="方正仿宋_GBK" w:cs="Times New Roman"/>
          <w:sz w:val="32"/>
          <w:szCs w:val="32"/>
          <w:lang w:val="en-US" w:eastAsia="zh-CN"/>
        </w:rPr>
        <w:t>实施农机购置与应用补贴。对已具备作业信息化监测条件的大型、智能、复式、高端、绿色农机以及重点推广的机具实施农机购置与应用补贴。补贴按照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补贴范围按省级主管部门发布的补贴范围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展农机研发制造推广应用一体化试点。根据省、州主管部门结合农业生产实际，按照生产急需、前沿引领、自主安全、集中突破的要求，分区域、分产业、分品种、分环节梳理研发制造、熟化定型、推广应用优势资源，形成的农机短板目录，排出的优先序，编制的项目化方案，动员和遴选企业及科研力量开展农机研发制造推广应用一体化试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val="en-US" w:eastAsia="en-US"/>
        </w:rPr>
        <w:t>支出责任与兑付。</w:t>
      </w:r>
      <w:r>
        <w:rPr>
          <w:rFonts w:hint="default" w:ascii="Times New Roman" w:hAnsi="Times New Roman" w:eastAsia="方正仿宋_GBK" w:cs="Times New Roman"/>
          <w:sz w:val="32"/>
          <w:szCs w:val="32"/>
          <w:lang w:val="en-US" w:eastAsia="zh-CN"/>
        </w:rPr>
        <w:t>农机购置与应用补贴资金必须足额保障，不得挤占、截留、挪用或用于其他支出。中央、省级财政安排资金要优先用于以往年度已录入但尚未兑付及当年已购机的补贴申请，并通过农机购置与应用补贴申请办理服务系统（以下简称“办理服务系统”）予以体现，相关工作开展情况纳入责任制考核。县财政部门要足额保障补贴工作实施必要的组织管理经费，包括政策实施绩效考核、机具核验、信息化建设、第三方抽查核验等工作经费。因保障粮食和重要农产品稳定安全供给重大战略需要、农业生产急需适用等情况，需提高补贴额测算比例或实施累加补贴的，按程序逐级上报至</w:t>
      </w:r>
      <w:r>
        <w:rPr>
          <w:rFonts w:hint="default" w:ascii="Times New Roman" w:hAnsi="Times New Roman" w:eastAsia="方正仿宋_GBK" w:cs="Times New Roman"/>
          <w:sz w:val="32"/>
          <w:szCs w:val="32"/>
          <w:lang w:eastAsia="zh-CN"/>
        </w:rPr>
        <w:t>农业农村部、财政部备案后再实施</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五、操作流程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农机购置与应用补贴政策实行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自主购机、定额补贴、先购后补、县级受理、直补到卡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。购机者购买机具时，销售企业需向购机者出具购机发票、产品质量合格证书和售后服务凭证等资料。发票上需注明购机者姓名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或名称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、所购机具名称、型号、数量、销售价格、出厂编号、发动机编号和生产企业名称等信息。购机行为完成后，购机者自主向县农业农村部门</w:t>
      </w:r>
      <w:r>
        <w:rPr>
          <w:rFonts w:hint="default" w:ascii="Times New Roman" w:hAnsi="Times New Roman" w:eastAsia="方正仿宋_GBK" w:cs="Times New Roman"/>
          <w:sz w:val="32"/>
          <w:szCs w:val="32"/>
          <w:lang w:eastAsia="zh-CN"/>
        </w:rPr>
        <w:t>“购机办”（“购机办”设在盈江县农业农村局农业机械化技术推广站一楼大厅，单位地址：盈江县平原镇勐腊路</w:t>
      </w:r>
      <w:r>
        <w:rPr>
          <w:rFonts w:hint="default" w:ascii="Times New Roman" w:hAnsi="Times New Roman" w:eastAsia="方正仿宋_GBK" w:cs="Times New Roman"/>
          <w:sz w:val="32"/>
          <w:szCs w:val="32"/>
          <w:lang w:val="en-US" w:eastAsia="zh-CN"/>
        </w:rPr>
        <w:t>131号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提出补贴资金申领事项，签署告知承诺书，承诺购买行为、发票购机价格等信息真实有效，按相关规定申办补贴。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（一）发布实施规定。</w:t>
      </w:r>
      <w:r>
        <w:rPr>
          <w:rFonts w:hint="default" w:ascii="Times New Roman" w:hAnsi="Times New Roman" w:eastAsia="方正仿宋_GBK" w:cs="Times New Roman"/>
          <w:sz w:val="32"/>
          <w:szCs w:val="32"/>
          <w:lang w:val="en-US" w:eastAsia="zh-CN"/>
        </w:rPr>
        <w:t>结合盈江县实际，根据</w:t>
      </w:r>
      <w:r>
        <w:rPr>
          <w:rFonts w:hint="default" w:ascii="Times New Roman" w:hAnsi="Times New Roman" w:eastAsia="方正仿宋_GBK" w:cs="Times New Roman"/>
          <w:sz w:val="32"/>
          <w:szCs w:val="32"/>
          <w:lang w:val="en-US" w:eastAsia="en-US"/>
        </w:rPr>
        <w:t>《云南省农业农村厅 云南省财政厅关于印发&lt;云南省2024-2026年农机购置与应用补贴实施方案&gt;的通知》（云农机〔2024〕</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en-US"/>
        </w:rPr>
        <w:t>号）</w:t>
      </w:r>
      <w:r>
        <w:rPr>
          <w:rFonts w:hint="default" w:ascii="Times New Roman" w:hAnsi="Times New Roman" w:eastAsia="方正仿宋_GBK" w:cs="Times New Roman"/>
          <w:sz w:val="32"/>
          <w:szCs w:val="32"/>
          <w:lang w:val="en-US" w:eastAsia="zh-CN"/>
        </w:rPr>
        <w:t>文件精神，由盈江</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农业农村</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盈江县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按职责分工和有关规定</w:t>
      </w:r>
      <w:r>
        <w:rPr>
          <w:rFonts w:hint="default" w:ascii="Times New Roman" w:hAnsi="Times New Roman" w:eastAsia="方正仿宋_GBK" w:cs="Times New Roman"/>
          <w:sz w:val="32"/>
          <w:szCs w:val="32"/>
          <w:lang w:eastAsia="zh-CN"/>
        </w:rPr>
        <w:t>共同</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sz w:val="32"/>
          <w:szCs w:val="32"/>
          <w:lang w:val="en-US" w:eastAsia="zh-CN"/>
        </w:rPr>
        <w:t>《盈江县2024年农机购置与应用补贴实施方案》，方案上</w:t>
      </w:r>
      <w:r>
        <w:rPr>
          <w:rFonts w:hint="default" w:ascii="Times New Roman" w:hAnsi="Times New Roman" w:eastAsia="方正仿宋_GBK" w:cs="Times New Roman"/>
          <w:sz w:val="32"/>
          <w:szCs w:val="32"/>
        </w:rPr>
        <w:t>报</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农业农村</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，全面公开操作程序、补贴机具信息表及咨询投诉举报电话等信息，其中，要按</w:t>
      </w:r>
      <w:r>
        <w:rPr>
          <w:rFonts w:hint="default" w:ascii="Times New Roman" w:hAnsi="Times New Roman" w:eastAsia="方正仿宋_GBK" w:cs="Times New Roman"/>
          <w:sz w:val="32"/>
          <w:szCs w:val="32"/>
          <w:lang w:eastAsia="zh-CN"/>
        </w:rPr>
        <w:t>省农业农村厅</w:t>
      </w:r>
      <w:r>
        <w:rPr>
          <w:rFonts w:hint="default" w:ascii="Times New Roman" w:hAnsi="Times New Roman" w:eastAsia="方正仿宋_GBK" w:cs="Times New Roman"/>
          <w:sz w:val="32"/>
          <w:szCs w:val="32"/>
        </w:rPr>
        <w:t>年度明确剔除出补贴范围和实行降标的机具品目或档次</w:t>
      </w:r>
      <w:r>
        <w:rPr>
          <w:rFonts w:hint="default" w:ascii="Times New Roman" w:hAnsi="Times New Roman" w:eastAsia="方正仿宋_GBK" w:cs="Times New Roman"/>
          <w:sz w:val="32"/>
          <w:szCs w:val="32"/>
          <w:lang w:eastAsia="zh-CN"/>
        </w:rPr>
        <w:t>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（二）自主购机。</w:t>
      </w:r>
      <w:r>
        <w:rPr>
          <w:rFonts w:hint="default" w:ascii="Times New Roman" w:hAnsi="Times New Roman" w:eastAsia="方正仿宋_GBK" w:cs="Times New Roman"/>
          <w:sz w:val="32"/>
          <w:szCs w:val="32"/>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（三）受理补贴申请。</w:t>
      </w:r>
      <w:r>
        <w:rPr>
          <w:rFonts w:hint="default" w:ascii="Times New Roman" w:hAnsi="Times New Roman" w:eastAsia="方正仿宋_GBK" w:cs="Times New Roman"/>
          <w:sz w:val="32"/>
          <w:szCs w:val="32"/>
          <w:lang w:eastAsia="zh-CN"/>
        </w:rPr>
        <w:t>“购机办”</w:t>
      </w:r>
      <w:r>
        <w:rPr>
          <w:rFonts w:hint="default" w:ascii="Times New Roman" w:hAnsi="Times New Roman" w:eastAsia="方正仿宋_GBK" w:cs="Times New Roman"/>
          <w:sz w:val="32"/>
          <w:szCs w:val="32"/>
        </w:rPr>
        <w:t>在收到购机者完成签字确认的补贴申请后，应于2个工作日内作出是否受理的决定，对因资料不齐全等原因无法受理的，应注明原因，按原渠道退回申请，并告知购机者，做好咨询答疑。同一补贴对象在同一个实施年度内享受补贴总资金超出60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须由县级农机购置与应用补贴工作领导小组审定。县级农业农村部门全面实行办理服务系统常年连续开放，推广使用信息化技术，方便购机者随时在线录入补贴申请信息。引导购机者在录入信息后，及时向农业农村</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提交补贴申请资料。补贴资金申请数量达到或超过当年可用资金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含结转资金、调剂资金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购机者提交的补贴申请可继续录入进行预登记，但应及时告知购机者有关情况。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（四）机具核验。</w:t>
      </w:r>
      <w:r>
        <w:rPr>
          <w:rFonts w:hint="default" w:ascii="Times New Roman" w:hAnsi="Times New Roman" w:eastAsia="方正仿宋_GBK" w:cs="Times New Roman"/>
          <w:sz w:val="32"/>
          <w:szCs w:val="32"/>
          <w:lang w:eastAsia="zh-CN"/>
        </w:rPr>
        <w:t>“购机办”</w:t>
      </w:r>
      <w:r>
        <w:rPr>
          <w:rFonts w:hint="default" w:ascii="Times New Roman" w:hAnsi="Times New Roman" w:eastAsia="方正仿宋_GBK" w:cs="Times New Roman"/>
          <w:sz w:val="32"/>
          <w:szCs w:val="32"/>
        </w:rPr>
        <w:t>对补贴相关申请资料进行审核，对补贴机具按《农业农村部办公厅关于进一步做好</w:t>
      </w:r>
      <w:r>
        <w:rPr>
          <w:rFonts w:hint="default" w:ascii="Times New Roman" w:hAnsi="Times New Roman" w:eastAsia="方正仿宋_GBK" w:cs="Times New Roman"/>
          <w:sz w:val="32"/>
          <w:szCs w:val="32"/>
          <w:lang w:eastAsia="zh-CN"/>
        </w:rPr>
        <w:t>农机购置与应用补贴</w:t>
      </w:r>
      <w:r>
        <w:rPr>
          <w:rFonts w:hint="default" w:ascii="Times New Roman" w:hAnsi="Times New Roman" w:eastAsia="方正仿宋_GBK" w:cs="Times New Roman"/>
          <w:sz w:val="32"/>
          <w:szCs w:val="32"/>
        </w:rPr>
        <w:t>机具投档与核验等工作的通知》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农办机〔2019〕7号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进行核验，其中实行牌证管理的机具，要先行办理牌证照，并凭牌证免于现场实物核验。鼓励农业农村部门探索多种核验方式，提高补贴机具核验水平。县农业农村部门可结合实际，探索将农机完成规定作业面积或作业量作为核验的前提条件。对高风险机具，应逐台核验，并了解机具购置使用情况；对安装类、设施类或安全风险较高类补贴机具，以及当地初次出现的高补贴额机具，在安装完成且生产应用一段时间后进行现场核验；对丘陵山区所用的量大面广的小型机具，可结合实际制定实施便利化可监测的核验方法；对成套设施装备，农业农村部门、财政部门可组织符合条件的第三方开展核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（五）审验公示信息。</w:t>
      </w:r>
      <w:r>
        <w:rPr>
          <w:rFonts w:hint="default" w:ascii="Times New Roman" w:hAnsi="Times New Roman" w:eastAsia="方正仿宋_GBK" w:cs="Times New Roman"/>
          <w:sz w:val="32"/>
          <w:szCs w:val="32"/>
          <w:lang w:eastAsia="zh-CN"/>
        </w:rPr>
        <w:t>“购机办”</w:t>
      </w:r>
      <w:r>
        <w:rPr>
          <w:rFonts w:hint="default" w:ascii="Times New Roman" w:hAnsi="Times New Roman" w:eastAsia="方正仿宋_GBK" w:cs="Times New Roman"/>
          <w:sz w:val="32"/>
          <w:szCs w:val="32"/>
        </w:rPr>
        <w:t>对符合条件可以受理的补贴申请，应于13个工作日内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不含公示时间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完成相关核验工作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核验通过后，县农业农村局在农机购置补贴信息公开专栏进行网上公示。同时，县</w:t>
      </w:r>
      <w:r>
        <w:rPr>
          <w:rFonts w:hint="default" w:ascii="Times New Roman" w:hAnsi="Times New Roman" w:eastAsia="方正仿宋_GBK" w:cs="Times New Roman"/>
          <w:sz w:val="32"/>
          <w:szCs w:val="32"/>
          <w:lang w:eastAsia="zh-CN"/>
        </w:rPr>
        <w:t>“购机办”及</w:t>
      </w:r>
      <w:r>
        <w:rPr>
          <w:rFonts w:hint="default" w:ascii="Times New Roman" w:hAnsi="Times New Roman" w:eastAsia="方正仿宋_GBK" w:cs="Times New Roman"/>
          <w:sz w:val="32"/>
          <w:szCs w:val="32"/>
          <w:lang w:val="en-US" w:eastAsia="zh-CN"/>
        </w:rPr>
        <w:t>各乡镇（农场）</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lang w:val="en-US" w:eastAsia="zh-CN"/>
        </w:rPr>
        <w:t>公示栏进行线下实时公开公示补贴信息</w:t>
      </w:r>
      <w:r>
        <w:rPr>
          <w:rFonts w:hint="default" w:ascii="Times New Roman" w:hAnsi="Times New Roman" w:eastAsia="方正仿宋_GBK" w:cs="Times New Roman"/>
          <w:sz w:val="32"/>
          <w:szCs w:val="32"/>
        </w:rPr>
        <w:t>，公示时间为5个工作日。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（六）兑付补贴资金。</w:t>
      </w:r>
      <w:r>
        <w:rPr>
          <w:rFonts w:hint="default" w:ascii="Times New Roman" w:hAnsi="Times New Roman" w:eastAsia="方正仿宋_GBK" w:cs="Times New Roman"/>
          <w:sz w:val="32"/>
          <w:szCs w:val="32"/>
        </w:rPr>
        <w:t>在完成公示后20个工作日内，通过惠民惠农财政补贴资金“一卡通”管理平台完成兑付，2024年由县级组织发放，发放流程：县级农业农村部门审核—县级财政部门审核—县级农业农村部门会同财政部门形成补贴资金发放方案—县级农业农村部门申请资金支付—银行业金融机构完成补贴资金发放。因当年财政补贴资金规模不够、办理手续时间紧张等原因确实难以完成兑付的，可在办理服务系统中进行预登记申请，在下一个年度优先予以兑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lang w:val="en-US" w:eastAsia="en-US"/>
        </w:rPr>
        <w:t>组织抽查。</w:t>
      </w:r>
      <w:r>
        <w:rPr>
          <w:rFonts w:hint="default" w:ascii="Times New Roman" w:hAnsi="Times New Roman" w:eastAsia="方正仿宋_GBK" w:cs="Times New Roman"/>
          <w:sz w:val="32"/>
          <w:szCs w:val="32"/>
          <w:lang w:val="en-US" w:eastAsia="zh-CN"/>
        </w:rPr>
        <w:t>年度补贴工作实施结束后，由盈江县农业农村局组织对补贴机具开展抽查，加强对高风险机具和成套设施装备等机具装备的抽查，</w:t>
      </w:r>
      <w:r>
        <w:rPr>
          <w:rFonts w:hint="default" w:ascii="Times New Roman" w:hAnsi="Times New Roman" w:eastAsia="方正仿宋_GBK" w:cs="Times New Roman"/>
          <w:sz w:val="32"/>
          <w:szCs w:val="32"/>
          <w:lang w:eastAsia="zh-CN"/>
        </w:rPr>
        <w:t>重点对单一产品购置较为集中、单人多台套、短期内大批量、同一主体连年重复购置、机具适应性和购置数量与购机者生产经营服务所需不相符等情形进行查核，对发现的问题线索进行评估，涉嫌违规的及时</w:t>
      </w:r>
      <w:r>
        <w:rPr>
          <w:rFonts w:hint="default" w:ascii="Times New Roman" w:hAnsi="Times New Roman" w:eastAsia="方正仿宋_GBK" w:cs="Times New Roman"/>
          <w:sz w:val="32"/>
          <w:szCs w:val="32"/>
          <w:lang w:val="en-US" w:eastAsia="zh-CN"/>
        </w:rPr>
        <w:t>上报州级主管部门，积极配合州级主管部门开展调查，由州级主管部门</w:t>
      </w:r>
      <w:r>
        <w:rPr>
          <w:rFonts w:hint="default" w:ascii="Times New Roman" w:hAnsi="Times New Roman" w:eastAsia="方正仿宋_GBK" w:cs="Times New Roman"/>
          <w:sz w:val="32"/>
          <w:szCs w:val="32"/>
          <w:lang w:eastAsia="zh-CN"/>
        </w:rPr>
        <w:t>按规定处理，涉嫌犯罪的移交司法机关处理。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可依法处置。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、工作措施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（一）加强领导，密切配合。</w:t>
      </w:r>
      <w:r>
        <w:rPr>
          <w:rFonts w:hint="default" w:ascii="Times New Roman" w:hAnsi="Times New Roman" w:eastAsia="方正仿宋_GBK" w:cs="Times New Roman"/>
          <w:sz w:val="32"/>
          <w:szCs w:val="32"/>
        </w:rPr>
        <w:t>为加强对农机购置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补贴工作的领导，搞好协调配合，明确责任，确保政策落实按时、按质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按量圆满完成，经县人民政府研究决定，成立农机购置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补贴领导小组：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  长：朗其生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县人民政府副县长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郗承磊</w:t>
      </w:r>
      <w:r>
        <w:rPr>
          <w:rFonts w:hint="default" w:ascii="Times New Roman" w:hAnsi="Times New Roman" w:eastAsia="方正仿宋_GBK" w:cs="Times New Roman"/>
          <w:sz w:val="32"/>
          <w:szCs w:val="32"/>
          <w:lang w:val="en-US" w:eastAsia="zh-CN"/>
        </w:rPr>
        <w:t xml:space="preserve">   县农业农村局</w:t>
      </w:r>
      <w:r>
        <w:rPr>
          <w:rFonts w:hint="default" w:ascii="Times New Roman" w:hAnsi="Times New Roman" w:eastAsia="方正仿宋_GBK" w:cs="Times New Roman"/>
          <w:sz w:val="32"/>
          <w:szCs w:val="32"/>
        </w:rPr>
        <w:t>党</w:t>
      </w:r>
      <w:r>
        <w:rPr>
          <w:rFonts w:hint="default" w:ascii="Times New Roman" w:hAnsi="Times New Roman" w:eastAsia="方正仿宋_GBK" w:cs="Times New Roman"/>
          <w:sz w:val="32"/>
          <w:szCs w:val="32"/>
          <w:lang w:eastAsia="zh-CN"/>
        </w:rPr>
        <w:t>组</w:t>
      </w:r>
      <w:r>
        <w:rPr>
          <w:rFonts w:hint="default" w:ascii="Times New Roman" w:hAnsi="Times New Roman" w:eastAsia="方正仿宋_GBK" w:cs="Times New Roman"/>
          <w:sz w:val="32"/>
          <w:szCs w:val="32"/>
        </w:rPr>
        <w:t>书记</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局长  </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陈立兴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县财政局局长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刘富常</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县工业和商务科技局局长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  员：</w:t>
      </w:r>
      <w:r>
        <w:rPr>
          <w:rFonts w:hint="default" w:ascii="Times New Roman" w:hAnsi="Times New Roman" w:eastAsia="方正仿宋_GBK" w:cs="Times New Roman"/>
          <w:sz w:val="32"/>
          <w:szCs w:val="32"/>
          <w:lang w:eastAsia="zh-CN"/>
        </w:rPr>
        <w:t>闫信奇</w:t>
      </w:r>
      <w:r>
        <w:rPr>
          <w:rFonts w:hint="default" w:ascii="Times New Roman" w:hAnsi="Times New Roman" w:eastAsia="方正仿宋_GBK" w:cs="Times New Roman"/>
          <w:sz w:val="32"/>
          <w:szCs w:val="32"/>
          <w:lang w:val="en-US" w:eastAsia="zh-CN"/>
        </w:rPr>
        <w:t xml:space="preserve">   县农业农村局党组成员</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李林佑</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县公安局副局长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王兴额</w:t>
      </w:r>
      <w:r>
        <w:rPr>
          <w:rFonts w:hint="default" w:ascii="Times New Roman" w:hAnsi="Times New Roman" w:eastAsia="方正仿宋_GBK" w:cs="Times New Roman"/>
          <w:sz w:val="32"/>
          <w:szCs w:val="32"/>
        </w:rPr>
        <w:t xml:space="preserve">   县财政局副局长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王兴益</w:t>
      </w:r>
      <w:r>
        <w:rPr>
          <w:rFonts w:hint="default" w:ascii="Times New Roman" w:hAnsi="Times New Roman" w:eastAsia="方正仿宋_GBK" w:cs="Times New Roman"/>
          <w:sz w:val="32"/>
          <w:szCs w:val="32"/>
        </w:rPr>
        <w:t xml:space="preserve">   县工业和商务科技局副局长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洁</w:t>
      </w:r>
      <w:r>
        <w:rPr>
          <w:rFonts w:hint="default" w:ascii="Times New Roman" w:hAnsi="Times New Roman" w:eastAsia="方正仿宋_GBK" w:cs="Times New Roman"/>
          <w:sz w:val="32"/>
          <w:szCs w:val="32"/>
        </w:rPr>
        <w:t xml:space="preserve">   县市场监督管理局副局长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李连归   县财政局农业农村股股长 </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杨明超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县农业农村局办公室主任</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朗其富   </w:t>
      </w:r>
      <w:r>
        <w:rPr>
          <w:rFonts w:hint="default" w:ascii="Times New Roman" w:hAnsi="Times New Roman" w:eastAsia="方正仿宋_GBK" w:cs="Times New Roman"/>
          <w:sz w:val="32"/>
          <w:szCs w:val="32"/>
          <w:lang w:eastAsia="zh-CN"/>
        </w:rPr>
        <w:t>县农业农村局办公室副主任</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周荣龙   县农田建设与农业机械管理股</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股长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  云   县农业机械化技术推广站站长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赖小卫   县农机安全监理站站长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邵晓萍   县农业机械化技术推站副站长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15个乡镇及农场管委会</w:t>
      </w:r>
      <w:r>
        <w:rPr>
          <w:rFonts w:hint="default" w:ascii="Times New Roman" w:hAnsi="Times New Roman" w:eastAsia="方正仿宋_GBK" w:cs="Times New Roman"/>
          <w:sz w:val="32"/>
          <w:szCs w:val="32"/>
        </w:rPr>
        <w:t>综合</w:t>
      </w:r>
      <w:r>
        <w:rPr>
          <w:rFonts w:hint="default" w:ascii="Times New Roman" w:hAnsi="Times New Roman" w:eastAsia="方正仿宋_GBK" w:cs="Times New Roman"/>
          <w:sz w:val="32"/>
          <w:szCs w:val="32"/>
          <w:lang w:eastAsia="zh-CN"/>
        </w:rPr>
        <w:t>保障和技术</w:t>
      </w:r>
      <w:r>
        <w:rPr>
          <w:rFonts w:hint="default" w:ascii="Times New Roman" w:hAnsi="Times New Roman" w:eastAsia="方正仿宋_GBK" w:cs="Times New Roman"/>
          <w:sz w:val="32"/>
          <w:szCs w:val="32"/>
        </w:rPr>
        <w:t>服务中心主任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以上领导小组成员若有变动，人员变动的单位需将变更情况报领导小组办公室备案，不再另行发文。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领导小组下设办公室</w:t>
      </w:r>
      <w:r>
        <w:rPr>
          <w:rFonts w:hint="default" w:ascii="Times New Roman" w:hAnsi="Times New Roman" w:eastAsia="方正仿宋_GBK" w:cs="Times New Roman"/>
          <w:sz w:val="32"/>
          <w:szCs w:val="32"/>
          <w:lang w:eastAsia="zh-CN"/>
        </w:rPr>
        <w:t>在县</w:t>
      </w:r>
      <w:r>
        <w:rPr>
          <w:rFonts w:hint="default" w:ascii="Times New Roman" w:hAnsi="Times New Roman" w:eastAsia="方正仿宋_GBK" w:cs="Times New Roman"/>
          <w:sz w:val="32"/>
          <w:szCs w:val="32"/>
        </w:rPr>
        <w:t>农业农村局农业机械化技术推广站（盈江县勐腊路131号，联系电话：0692-8115116）</w:t>
      </w:r>
      <w:r>
        <w:rPr>
          <w:rFonts w:hint="default" w:ascii="Times New Roman" w:hAnsi="Times New Roman" w:eastAsia="方正仿宋_GBK" w:cs="Times New Roman"/>
          <w:sz w:val="32"/>
          <w:szCs w:val="32"/>
          <w:lang w:eastAsia="zh-CN"/>
        </w:rPr>
        <w:t>，组长：闫信奇，副组长：黄云，</w:t>
      </w:r>
      <w:r>
        <w:rPr>
          <w:rFonts w:hint="default" w:ascii="Times New Roman" w:hAnsi="Times New Roman" w:eastAsia="方正仿宋_GBK" w:cs="Times New Roman"/>
          <w:sz w:val="32"/>
          <w:szCs w:val="32"/>
        </w:rPr>
        <w:t>成员：</w:t>
      </w:r>
      <w:r>
        <w:rPr>
          <w:rFonts w:hint="default" w:ascii="Times New Roman" w:hAnsi="Times New Roman" w:eastAsia="方正仿宋_GBK" w:cs="Times New Roman"/>
          <w:sz w:val="32"/>
          <w:szCs w:val="32"/>
          <w:lang w:eastAsia="zh-CN"/>
        </w:rPr>
        <w:t>周荣龙、赖小卫、</w:t>
      </w:r>
      <w:r>
        <w:rPr>
          <w:rFonts w:hint="default" w:ascii="Times New Roman" w:hAnsi="Times New Roman" w:eastAsia="方正仿宋_GBK" w:cs="Times New Roman"/>
          <w:sz w:val="32"/>
          <w:szCs w:val="32"/>
        </w:rPr>
        <w:t>邵晓萍、董祖珍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李敬元、杨保柱、彭润娇、倪志成、杨雪峰、</w:t>
      </w:r>
      <w:r>
        <w:rPr>
          <w:rFonts w:hint="default" w:ascii="Times New Roman" w:hAnsi="Times New Roman" w:eastAsia="方正仿宋_GBK" w:cs="Times New Roman"/>
          <w:sz w:val="32"/>
          <w:szCs w:val="32"/>
          <w:lang w:eastAsia="zh-CN"/>
        </w:rPr>
        <w:t>晚文生、</w:t>
      </w:r>
      <w:r>
        <w:rPr>
          <w:rFonts w:hint="default" w:ascii="Times New Roman" w:hAnsi="Times New Roman" w:eastAsia="方正仿宋_GBK" w:cs="Times New Roman"/>
          <w:sz w:val="32"/>
          <w:szCs w:val="32"/>
        </w:rPr>
        <w:t>杨丽聪、</w:t>
      </w:r>
      <w:r>
        <w:rPr>
          <w:rFonts w:hint="default" w:ascii="Times New Roman" w:hAnsi="Times New Roman" w:eastAsia="方正仿宋_GBK" w:cs="Times New Roman"/>
          <w:sz w:val="32"/>
          <w:szCs w:val="32"/>
          <w:lang w:val="en-US" w:eastAsia="zh-CN"/>
        </w:rPr>
        <w:t>岳太林、朱绍波、</w:t>
      </w:r>
      <w:r>
        <w:rPr>
          <w:rFonts w:hint="default" w:ascii="Times New Roman" w:hAnsi="Times New Roman" w:eastAsia="方正仿宋_GBK" w:cs="Times New Roman"/>
          <w:sz w:val="32"/>
          <w:szCs w:val="32"/>
          <w:lang w:eastAsia="zh-CN"/>
        </w:rPr>
        <w:t>余加芳、</w:t>
      </w:r>
      <w:r>
        <w:rPr>
          <w:rFonts w:hint="default" w:ascii="Times New Roman" w:hAnsi="Times New Roman" w:eastAsia="方正仿宋_GBK" w:cs="Times New Roman"/>
          <w:sz w:val="32"/>
          <w:szCs w:val="32"/>
          <w:lang w:val="en-US" w:eastAsia="zh-CN"/>
        </w:rPr>
        <w:t>董毅书、寸永斌、孔进国、段忠朝、施盈东、李淑芳、王海静</w:t>
      </w:r>
      <w:r>
        <w:rPr>
          <w:rFonts w:hint="default" w:ascii="Times New Roman" w:hAnsi="Times New Roman" w:eastAsia="方正仿宋_GBK" w:cs="Times New Roman"/>
          <w:sz w:val="32"/>
          <w:szCs w:val="32"/>
        </w:rPr>
        <w:t>，信息员由</w:t>
      </w:r>
      <w:r>
        <w:rPr>
          <w:rFonts w:hint="default" w:ascii="Times New Roman" w:hAnsi="Times New Roman" w:eastAsia="方正仿宋_GBK" w:cs="Times New Roman"/>
          <w:sz w:val="32"/>
          <w:szCs w:val="32"/>
          <w:lang w:eastAsia="zh-CN"/>
        </w:rPr>
        <w:t>彭润娇、余加芳二位</w:t>
      </w:r>
      <w:r>
        <w:rPr>
          <w:rFonts w:hint="default" w:ascii="Times New Roman" w:hAnsi="Times New Roman" w:eastAsia="方正仿宋_GBK" w:cs="Times New Roman"/>
          <w:sz w:val="32"/>
          <w:szCs w:val="32"/>
        </w:rPr>
        <w:t>同志兼任。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办公室负责</w:t>
      </w:r>
      <w:r>
        <w:rPr>
          <w:rFonts w:hint="default" w:ascii="Times New Roman" w:hAnsi="Times New Roman" w:eastAsia="方正仿宋_GBK" w:cs="Times New Roman"/>
          <w:sz w:val="32"/>
          <w:szCs w:val="32"/>
          <w:lang w:eastAsia="zh-CN"/>
        </w:rPr>
        <w:t>农机购置与应用补贴</w:t>
      </w:r>
      <w:r>
        <w:rPr>
          <w:rFonts w:hint="default" w:ascii="Times New Roman" w:hAnsi="Times New Roman" w:eastAsia="方正仿宋_GBK" w:cs="Times New Roman"/>
          <w:sz w:val="32"/>
          <w:szCs w:val="32"/>
        </w:rPr>
        <w:t>工作的具体事宜</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信息收集整理上报</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业务办理</w:t>
      </w:r>
      <w:r>
        <w:rPr>
          <w:rFonts w:hint="default" w:ascii="Times New Roman" w:hAnsi="Times New Roman" w:eastAsia="方正仿宋_GBK" w:cs="Times New Roman"/>
          <w:sz w:val="32"/>
          <w:szCs w:val="32"/>
        </w:rPr>
        <w:t>用盈江县农业农村局农业机械化技术推广站的公章。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农业机械化技术推广站、县农机安全监理站要互相支持配合，做好农机购置补贴及农机报废更新补贴政策宣传、落实和管理服务工作，开展经销企业经营行为和场所检查，开展补贴机具的抽查核查，并指导乡镇（农场）做好农机购置补贴及农机报废更新补贴政策在辖区范围内的实施工作。县农业机械化技术推广站做好补贴相关政策和规定、补贴资金、补贴办理流程、补贴额一览表和归档产品信息表等信息公开、公示，农机购置补贴及农机报废更新补贴申请办理，非牌证管理机具核验，补贴公示，资金结算申请，补贴档案建立和管理，进行工作总结等工作；县农机安全监理站做好纳入牌证管理的机具核验、登记注册，农机报废申请办理，农机质量投诉处理等管理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县财政局农业农村股要根据工作进度做好资金使用监督、审核农业农村局提交的资金兑付申请、复核农机购置补贴资金结算明细表、兑付资金等工作。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农场）要在辖区内做好农机购置补贴政策宣传、咨询，补贴需求统计，购机者身份审核和社保卡账号信息核对，补贴信息公示；配合县农业农村局、县财政局做好补贴申请办理、资金兑付、抽查和调查等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（二）优化服务，提升效能。</w:t>
      </w:r>
      <w:r>
        <w:rPr>
          <w:rFonts w:hint="default" w:ascii="Times New Roman" w:hAnsi="Times New Roman" w:eastAsia="方正仿宋_GBK" w:cs="Times New Roman"/>
          <w:sz w:val="32"/>
          <w:szCs w:val="32"/>
        </w:rPr>
        <w:t>县农业农村局和县财政局要切实加快补贴申请受理、资格审核、机具核验、资金兑付等工作。推广补贴申请、核验、兑付全流程线上办理，推动补贴机具由人工核验向信息化核验转变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（三）公开信息，接受监督。</w:t>
      </w:r>
      <w:r>
        <w:rPr>
          <w:rFonts w:hint="default" w:ascii="Times New Roman" w:hAnsi="Times New Roman" w:eastAsia="方正仿宋_GBK" w:cs="Times New Roman"/>
          <w:sz w:val="32"/>
          <w:szCs w:val="32"/>
        </w:rPr>
        <w:t>各级农业农村部门要加大补贴政策宣传力度，综合运用各类媒体和多种宣传方式，通过补贴政策信息上门、指导服务上门等，全方位开展宣传解读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（四）加强监管，严惩违规。</w:t>
      </w:r>
      <w:r>
        <w:rPr>
          <w:rFonts w:hint="default" w:ascii="Times New Roman" w:hAnsi="Times New Roman" w:eastAsia="方正仿宋_GBK" w:cs="Times New Roman"/>
          <w:sz w:val="32"/>
          <w:szCs w:val="32"/>
        </w:rPr>
        <w:t>全面贯彻部、省关于农机购置与应用补贴产品违规经营行为处理有关要求，严格落实属地管理责任，加强风险防控和异常情形主动报告，更加严格实施信用管理和农机产销企业承诺制。充分发挥专业机构的技术优势和大数据的信息优势，有效开展违规行为全流程分析排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强化农业农村和财政部门牵头，其他部门支持的联合查处和省际联动处理，对违法违规行为保持“零容忍”高压态势，</w:t>
      </w:r>
      <w:r>
        <w:rPr>
          <w:rFonts w:hint="default" w:ascii="Times New Roman" w:hAnsi="Times New Roman" w:eastAsia="方正仿宋_GBK" w:cs="Times New Roman"/>
          <w:sz w:val="32"/>
          <w:szCs w:val="32"/>
          <w:lang w:val="en-US" w:eastAsia="zh-CN"/>
        </w:rPr>
        <w:t>从严整治违法违规行为，涉嫌犯罪的，移交司法机关予以查处，有力维护政策实施良好秩序。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zh-CN"/>
        </w:rPr>
        <w:t>2024年盈江县农机购置与应用补贴实施方案由县级制定并发布实施，相关规定如与《</w:t>
      </w:r>
      <w:r>
        <w:rPr>
          <w:rFonts w:hint="default" w:ascii="Times New Roman" w:hAnsi="Times New Roman" w:eastAsia="方正仿宋_GBK" w:cs="Times New Roman"/>
          <w:sz w:val="32"/>
          <w:szCs w:val="32"/>
          <w:lang w:val="en-US" w:eastAsia="en-US"/>
        </w:rPr>
        <w:t>云南省2024-2026年农机购置与应用补贴实施方案</w:t>
      </w:r>
      <w:r>
        <w:rPr>
          <w:rFonts w:hint="default" w:ascii="Times New Roman" w:hAnsi="Times New Roman" w:eastAsia="方正仿宋_GBK" w:cs="Times New Roman"/>
          <w:sz w:val="32"/>
          <w:szCs w:val="32"/>
          <w:lang w:val="en-US" w:eastAsia="zh-CN"/>
        </w:rPr>
        <w:t>》冲突，则以省级实施方案规定为准。盈江县2025年、2026年农机购置与应用补贴继续执行《盈江县2024年农机购置与应用补贴实施方案》，并遵照《德宏州2024-2026年农机购置与应用补贴资金兑付方案的通知》执行。每</w:t>
      </w:r>
      <w:r>
        <w:rPr>
          <w:rFonts w:hint="default" w:ascii="Times New Roman" w:hAnsi="Times New Roman" w:eastAsia="方正仿宋_GBK" w:cs="Times New Roman"/>
          <w:sz w:val="32"/>
          <w:szCs w:val="32"/>
        </w:rPr>
        <w:t>年12月</w:t>
      </w:r>
      <w:r>
        <w:rPr>
          <w:rFonts w:hint="default" w:ascii="Times New Roman" w:hAnsi="Times New Roman" w:eastAsia="方正仿宋_GBK" w:cs="Times New Roman"/>
          <w:sz w:val="32"/>
          <w:szCs w:val="32"/>
          <w:lang w:val="en-US" w:eastAsia="zh-CN"/>
        </w:rPr>
        <w:t>中旬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县农业农村局将全年中央财政农机购置与应用补贴政策实施（含农机报废更新补贴、试点等工作开展情况）总结报州农业农村局。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en-US"/>
        </w:rPr>
        <w:t>服务监督电话：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政策咨询服务电话：0692-8124912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农机质量投诉电话：0692-8959502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政策投诉举报电话：0692-8182856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县财政局监督电话：0692-8183277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驻县农业农村局纪检组电话：0692- 8107682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州农业农村局举报电话：0692-2110531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盈江县购机补贴信息公开门户网站：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盈江县农业农村局信息公开专栏</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"https://www.dhyj.gov.cn/nyj/Web/publiceweb.do?page=1&amp;p=11,11&amp;m=11" </w:instrText>
      </w:r>
      <w:r>
        <w:rPr>
          <w:rFonts w:hint="default" w:ascii="Times New Roman" w:hAnsi="Times New Roman" w:eastAsia="方正仿宋_GBK" w:cs="Times New Roman"/>
          <w:color w:val="auto"/>
          <w:sz w:val="32"/>
          <w:szCs w:val="32"/>
          <w:lang w:val="en-US" w:eastAsia="zh-CN"/>
        </w:rPr>
        <w:fldChar w:fldCharType="separate"/>
      </w:r>
      <w:r>
        <w:rPr>
          <w:rStyle w:val="9"/>
          <w:rFonts w:hint="default" w:ascii="Times New Roman" w:hAnsi="Times New Roman" w:eastAsia="方正仿宋_GBK" w:cs="Times New Roman"/>
          <w:color w:val="auto"/>
          <w:sz w:val="32"/>
          <w:szCs w:val="32"/>
          <w:lang w:val="en-US" w:eastAsia="zh-CN"/>
        </w:rPr>
        <w:t>https://www.dhyj.gov.cn/nyj/Web/publiceweb.do?page=1&amp;p=11,11&amp;m=11</w:t>
      </w:r>
      <w:r>
        <w:rPr>
          <w:rFonts w:hint="default" w:ascii="Times New Roman" w:hAnsi="Times New Roman" w:eastAsia="方正仿宋_GBK" w:cs="Times New Roman"/>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云南省农机购置与应用补贴信息公开专栏</w:t>
      </w:r>
      <w:r>
        <w:rPr>
          <w:rFonts w:hint="default" w:ascii="Times New Roman" w:hAnsi="Times New Roman" w:eastAsia="方正仿宋_GBK" w:cs="Times New Roman"/>
          <w:sz w:val="32"/>
          <w:szCs w:val="32"/>
          <w:lang w:eastAsia="zh-CN"/>
        </w:rPr>
        <w:t>网址</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http://119.62.24.169:801/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云南省202</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补贴机具</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种类范围</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202 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县（市、区）农机购置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补贴资金</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结算明细表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202 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县（市、区）享受农机购置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购机者信息表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2024年12月11日</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附件1</w:t>
      </w:r>
    </w:p>
    <w:p>
      <w:pPr>
        <w:bidi w:val="0"/>
        <w:jc w:val="left"/>
        <w:rPr>
          <w:rFonts w:hint="default" w:ascii="Times New Roman" w:hAnsi="Times New Roman" w:eastAsia="方正仿宋_GBK" w:cs="Times New Roman"/>
          <w:sz w:val="32"/>
          <w:szCs w:val="32"/>
          <w:highlight w:val="none"/>
          <w:lang w:val="en-US" w:eastAsia="zh-CN"/>
        </w:rPr>
      </w:pPr>
    </w:p>
    <w:p>
      <w:pPr>
        <w:bidi w:val="0"/>
        <w:jc w:val="center"/>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云南省2024</w:t>
      </w:r>
      <w:r>
        <w:rPr>
          <w:rFonts w:hint="eastAsia"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lang w:val="en-US" w:eastAsia="zh-CN"/>
        </w:rPr>
        <w:t>2026年农机购置与应用补贴 机具种类范围</w:t>
      </w:r>
    </w:p>
    <w:p>
      <w:pPr>
        <w:bidi w:val="0"/>
        <w:jc w:val="center"/>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（21 大类46个小类121 个品目）</w:t>
      </w:r>
    </w:p>
    <w:p>
      <w:pPr>
        <w:numPr>
          <w:ilvl w:val="0"/>
          <w:numId w:val="1"/>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耕整地机械 </w:t>
      </w:r>
    </w:p>
    <w:p>
      <w:pPr>
        <w:numPr>
          <w:ilvl w:val="0"/>
          <w:numId w:val="0"/>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1.1耕地机械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1.1.1 犁</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1.1.2旋耕机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1.1.3微型耕耘机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1.1.4耕整机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1.1.5深松机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 1.6挖坑（成穴）机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1.2整地机械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1.2.1埋茬起浆机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1.2.2起垄机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1.2.3铺膜机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2.种植施肥机械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2.1种子播前处理和育苗机械设备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2.1.1 种子催芽机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2.1.2苗床用土粉碎机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2.1.3育秧（苗）播种设备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2.1.4营养钵压制机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2.2播种机械（可含施肥功能）</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2.2.1条播机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2.2.2穴播机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2.2.3单粒（精密）播种机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2.2.4根（块）茎种子播种机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2.3耕整地播种作业机械（可含施肥功能）</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2.3.1 旋耕播种机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2.3.2铺膜（带）播种机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2.3.3秸秆还田整地播种机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2.4栽植机械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2.4.1插秧机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2.4.2抛秧机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2.4.3移栽机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2.5施肥机械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2.5.1 施肥机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2.5.2侧深施肥装置</w:t>
      </w:r>
    </w:p>
    <w:p>
      <w:pPr>
        <w:numPr>
          <w:ilvl w:val="0"/>
          <w:numId w:val="1"/>
        </w:numPr>
        <w:bidi w:val="0"/>
        <w:ind w:left="0" w:leftChars="0" w:firstLine="0" w:firstLineChars="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田间管理机械 </w:t>
      </w:r>
    </w:p>
    <w:p>
      <w:pPr>
        <w:numPr>
          <w:ilvl w:val="0"/>
          <w:numId w:val="0"/>
        </w:numPr>
        <w:bidi w:val="0"/>
        <w:ind w:leftChars="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3.1中耕机械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3.1.1 中耕机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3.1.2田园管理机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3.1.3割草机（含果园无人割草机）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3.2植保机械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3.2.1 喷雾机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3.2.2农用（植保）无人驾驶航空器（可含撒播等功能）</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3.3修剪防护管理机械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3.3.1 修剪机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3.3.2枝条切碎机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3.3.3农用升降作业平台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4.灌溉机械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4.1 喷灌机械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4.1.1 喷灌机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4.2微灌设备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4.2.1 微喷灌设备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 收获机械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5.1粮食作物收获机械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5.1.1 割晒机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5.1.2玉米剥皮机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5.1.3脱粒机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5.1.4谷物联合收割机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5.1.5玉米收获机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5.1.6薯类收获机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5.2油料作物收获机械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5.2.1大豆收获机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5.2.2油菜籽收获机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5.3 糖料作物收获机械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5.3. 1甘蔗割铺（集条、集堆）机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5.3.2 甘蔗收集搬运机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5.3.3 甘蔗联合收获机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5.4 果菜茶烟草药收获机械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5.4.1 叶类采收机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5.4.2 果类收获机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5.4.3 根（茎）类收获机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5.5 秸秆收集处理机械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5.5.1 秸秆粉碎还田机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5.6收获割台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5.6.1 大豆收获专用割台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5.6.2玉米收获专用割台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6.设施种植机械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6.1食用菌生产设备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6.1.1 菌料灭菌设备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 1.2菌料装瓶（袋）机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 田间监测及作业监控设备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7.1 田间作业监控设备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7.1.1 辅助驾驶（系统）设备（含渔船用）</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8.种植业废弃物处理设备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8.1农田废弃物收集设备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8.1.1 残膜回收机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8.2农作物废弃物处理设备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8.2.1 生物质气化设备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8.2.2秸秆压块（粒、棒）机</w:t>
      </w:r>
    </w:p>
    <w:p>
      <w:pPr>
        <w:numPr>
          <w:ilvl w:val="0"/>
          <w:numId w:val="2"/>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饲料（草）收获加工运输设备 </w:t>
      </w:r>
    </w:p>
    <w:p>
      <w:pPr>
        <w:numPr>
          <w:ilvl w:val="0"/>
          <w:numId w:val="0"/>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 .1饲料（草）收获机械</w:t>
      </w:r>
    </w:p>
    <w:p>
      <w:pPr>
        <w:numPr>
          <w:ilvl w:val="2"/>
          <w:numId w:val="2"/>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割草（压扁）机 </w:t>
      </w:r>
    </w:p>
    <w:p>
      <w:pPr>
        <w:numPr>
          <w:ilvl w:val="2"/>
          <w:numId w:val="2"/>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打（压）捆机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9.1.3草捆包膜机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9.1.4青（黄）饲料收获机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9.1.5打捆包膜机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9.2饲料（草）加工机械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9.2.1 铡草机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9.2.2青贮切碎机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9.2.3饲料（草）粉碎机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9.2.4颗粒饲料压制机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9.2.5饲料混合机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9.2.6饲料膨化机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9.2.7全混合日粮制备机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9.3饲料（草）搬运机械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9.3.1饲草捆收集机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10.畜禽养殖机械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10.1 畜禽养殖成套设备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10.1.1 蜜蜂养殖设备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10.2畜禽繁育设备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10.2.1 孵化机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10.3饲养设备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10.3.1 喂（送）料机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11.畜禽产品采集储运设备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11.1 畜禽产品采集设备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11.1.1 挤奶机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11.1.2 生鲜乳速冷设备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11.1.3 散装乳冷藏罐</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11.2畜禽产品储运设备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11.2.1 储奶罐</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12.畜禽养殖废弃物及病死畜禽处理设备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12.1畜禽粪污资源化利用设备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12.1.1 清粪机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12.1.2畜禽粪污固液分离机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12.1.3畜禽粪便发酵处理设备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12.1.4畜禽粪便干燥设备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12.1.5畜禽粪便翻堆设备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12.1.6沼液沼渣抽排设备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12.2病死畜禽储运及处理设备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12.2.1 病死畜禽处理设备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13.水产养殖机械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13.1 水产养殖成套设备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13.1.1 网箱养殖装置</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13.2投饲机械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13.2.1 投（饲）饵机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13.3水质调控设备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13.3.1 增氧机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13.3.2水质调控监控设备</w:t>
      </w:r>
    </w:p>
    <w:p>
      <w:pPr>
        <w:numPr>
          <w:ilvl w:val="0"/>
          <w:numId w:val="3"/>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种子初加工机械  </w:t>
      </w:r>
    </w:p>
    <w:p>
      <w:pPr>
        <w:numPr>
          <w:ilvl w:val="0"/>
          <w:numId w:val="0"/>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14.1种子初加工机械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14.1.1 种子清选机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14.1.2种子包衣机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15.粮油糖初加工机械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15.1 粮食初加工机械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15.1.1 粮食清选机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 1.2谷物（粮食）干燥机（烘干机）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15.1.3碾米机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15.1.4 粮食色选机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15.1.5 磨粉机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15.2油料初加工机械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15.2.1 油菜籽干燥机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15 .2 .2油料果（籽）脱（剥）壳机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16.果菜茶初加工机械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16.1 果蔬初加工机械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16.1.1 果蔬分级机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16.1.2 果蔬干燥机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 1.3脱蓬（脯）机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 1.4青果（豆）脱壳机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16.1.5干坚果脱壳机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16.1.6果蔬冷藏保鲜设备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16.2茶叶初加工机械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16.2.1茶叶做青机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16.2.2茶叶杀青机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16.2.3茶叶揉捻机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16.2.4茶叶理条机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16.2.5茶叶炒（烘）干机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16.2.6茶叶色选机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17.天然橡胶初加工机械  </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17.1天然橡胶初加工机械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17.1.1 生胶成型设备</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17.1.2生胶打包机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18.农用动力机械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18.1 拖拉机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18.1.1轮式拖拉机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18.1.2手扶拖拉机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18.1.3履带式拖拉机</w:t>
      </w:r>
    </w:p>
    <w:p>
      <w:pPr>
        <w:numPr>
          <w:ilvl w:val="0"/>
          <w:numId w:val="4"/>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农用搬运机械  </w:t>
      </w:r>
    </w:p>
    <w:p>
      <w:pPr>
        <w:numPr>
          <w:ilvl w:val="0"/>
          <w:numId w:val="0"/>
        </w:num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19.1农用运输机械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19.1.1 田间搬运机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19.1.2轨道运输机</w:t>
      </w:r>
    </w:p>
    <w:p>
      <w:pPr>
        <w:numPr>
          <w:ilvl w:val="0"/>
          <w:numId w:val="4"/>
        </w:numPr>
        <w:bidi w:val="0"/>
        <w:ind w:left="0" w:leftChars="0" w:firstLine="0" w:firstLineChars="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农用水泵  </w:t>
      </w:r>
    </w:p>
    <w:p>
      <w:pPr>
        <w:numPr>
          <w:ilvl w:val="0"/>
          <w:numId w:val="0"/>
        </w:numPr>
        <w:bidi w:val="0"/>
        <w:ind w:leftChars="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20.1农用水泵</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20.1.1 潜水电泵</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20.1.2地面泵（机组）</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21.农田基本建设机械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21.1平地机械（限与拖拉机配套）</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21.1.1 平地机</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21.2清理机械</w:t>
      </w:r>
    </w:p>
    <w:p>
      <w:pPr>
        <w:bidi w:val="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21.2.1 捡（清）石机</w:t>
      </w:r>
    </w:p>
    <w:p>
      <w:pPr>
        <w:bidi w:val="0"/>
        <w:jc w:val="left"/>
        <w:rPr>
          <w:rFonts w:hint="default" w:ascii="Times New Roman" w:hAnsi="Times New Roman" w:eastAsia="方正仿宋_GBK" w:cs="Times New Roman"/>
          <w:sz w:val="32"/>
          <w:szCs w:val="32"/>
          <w:highlight w:val="none"/>
          <w:lang w:val="en-US" w:eastAsia="zh-CN"/>
        </w:rPr>
      </w:pPr>
    </w:p>
    <w:p>
      <w:pPr>
        <w:spacing w:line="311" w:lineRule="auto"/>
        <w:rPr>
          <w:rFonts w:hint="default" w:ascii="Times New Roman" w:hAnsi="Times New Roman" w:eastAsia="方正仿宋_GBK" w:cs="Times New Roman"/>
          <w:sz w:val="32"/>
          <w:szCs w:val="32"/>
          <w:highlight w:val="none"/>
        </w:rPr>
      </w:pPr>
    </w:p>
    <w:p>
      <w:pPr>
        <w:spacing w:line="311" w:lineRule="auto"/>
        <w:rPr>
          <w:rFonts w:hint="default" w:ascii="Times New Roman" w:hAnsi="Times New Roman" w:eastAsia="方正仿宋_GBK" w:cs="Times New Roman"/>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ind w:left="429"/>
        <w:rPr>
          <w:rFonts w:hint="default" w:ascii="Times New Roman" w:hAnsi="Times New Roman" w:eastAsia="方正仿宋_GBK" w:cs="Times New Roman"/>
          <w:b/>
          <w:bCs/>
          <w:spacing w:val="-16"/>
          <w:sz w:val="32"/>
          <w:szCs w:val="32"/>
          <w:highlight w:val="none"/>
        </w:rPr>
      </w:pPr>
    </w:p>
    <w:p>
      <w:pPr>
        <w:spacing w:before="94" w:line="224" w:lineRule="auto"/>
        <w:rPr>
          <w:rFonts w:hint="default" w:ascii="Times New Roman" w:hAnsi="Times New Roman" w:eastAsia="方正仿宋_GBK" w:cs="Times New Roman"/>
          <w:b/>
          <w:bCs/>
          <w:spacing w:val="-16"/>
          <w:sz w:val="32"/>
          <w:szCs w:val="32"/>
          <w:highlight w:val="none"/>
        </w:rPr>
        <w:sectPr>
          <w:footerReference r:id="rId3" w:type="default"/>
          <w:pgSz w:w="11900" w:h="16820"/>
          <w:pgMar w:top="2098" w:right="1474" w:bottom="1984" w:left="1587" w:header="0" w:footer="0" w:gutter="0"/>
          <w:pgNumType w:fmt="decimal" w:start="1"/>
          <w:cols w:space="0" w:num="1"/>
          <w:rtlGutter w:val="0"/>
          <w:docGrid w:linePitch="0" w:charSpace="0"/>
        </w:sectPr>
      </w:pPr>
    </w:p>
    <w:p>
      <w:pPr>
        <w:spacing w:before="94" w:line="224" w:lineRule="auto"/>
        <w:rPr>
          <w:rFonts w:hint="default" w:ascii="Times New Roman" w:hAnsi="Times New Roman" w:eastAsia="黑体" w:cs="Times New Roman"/>
          <w:sz w:val="29"/>
          <w:szCs w:val="29"/>
          <w:highlight w:val="none"/>
        </w:rPr>
      </w:pPr>
      <w:r>
        <w:rPr>
          <w:rFonts w:hint="default" w:ascii="Times New Roman" w:hAnsi="Times New Roman" w:eastAsia="黑体" w:cs="Times New Roman"/>
          <w:b/>
          <w:bCs/>
          <w:spacing w:val="-16"/>
          <w:sz w:val="29"/>
          <w:szCs w:val="29"/>
          <w:highlight w:val="none"/>
        </w:rPr>
        <w:t>附</w:t>
      </w:r>
      <w:r>
        <w:rPr>
          <w:rFonts w:hint="default" w:ascii="Times New Roman" w:hAnsi="Times New Roman" w:eastAsia="黑体" w:cs="Times New Roman"/>
          <w:spacing w:val="-44"/>
          <w:sz w:val="29"/>
          <w:szCs w:val="29"/>
          <w:highlight w:val="none"/>
        </w:rPr>
        <w:t xml:space="preserve"> </w:t>
      </w:r>
      <w:r>
        <w:rPr>
          <w:rFonts w:hint="default" w:ascii="Times New Roman" w:hAnsi="Times New Roman" w:eastAsia="黑体" w:cs="Times New Roman"/>
          <w:b/>
          <w:bCs/>
          <w:spacing w:val="-16"/>
          <w:sz w:val="29"/>
          <w:szCs w:val="29"/>
          <w:highlight w:val="none"/>
        </w:rPr>
        <w:t>件</w:t>
      </w:r>
      <w:r>
        <w:rPr>
          <w:rFonts w:hint="default" w:ascii="Times New Roman" w:hAnsi="Times New Roman" w:eastAsia="黑体" w:cs="Times New Roman"/>
          <w:spacing w:val="-46"/>
          <w:sz w:val="29"/>
          <w:szCs w:val="29"/>
          <w:highlight w:val="none"/>
        </w:rPr>
        <w:t xml:space="preserve"> </w:t>
      </w:r>
      <w:r>
        <w:rPr>
          <w:rFonts w:hint="default" w:ascii="Times New Roman" w:hAnsi="Times New Roman" w:eastAsia="黑体" w:cs="Times New Roman"/>
          <w:b/>
          <w:bCs/>
          <w:spacing w:val="-16"/>
          <w:sz w:val="29"/>
          <w:szCs w:val="29"/>
          <w:highlight w:val="none"/>
        </w:rPr>
        <w:t>2</w:t>
      </w:r>
    </w:p>
    <w:p>
      <w:pPr>
        <w:pStyle w:val="3"/>
        <w:spacing w:before="227" w:line="219" w:lineRule="auto"/>
        <w:ind w:left="1334"/>
        <w:rPr>
          <w:rFonts w:hint="default" w:ascii="Times New Roman" w:hAnsi="Times New Roman" w:cs="Times New Roman"/>
          <w:sz w:val="47"/>
          <w:szCs w:val="47"/>
          <w:highlight w:val="none"/>
        </w:rPr>
      </w:pPr>
      <w:r>
        <w:rPr>
          <w:rFonts w:hint="default" w:ascii="Times New Roman" w:hAnsi="Times New Roman" w:cs="Times New Roman"/>
          <w:b/>
          <w:bCs/>
          <w:spacing w:val="-17"/>
          <w:sz w:val="47"/>
          <w:szCs w:val="47"/>
          <w:highlight w:val="none"/>
        </w:rPr>
        <w:t xml:space="preserve">202 </w:t>
      </w:r>
      <w:r>
        <w:rPr>
          <w:rFonts w:hint="default" w:ascii="Times New Roman" w:hAnsi="Times New Roman" w:cs="Times New Roman"/>
          <w:b/>
          <w:bCs/>
          <w:spacing w:val="-17"/>
          <w:sz w:val="47"/>
          <w:szCs w:val="47"/>
          <w:highlight w:val="none"/>
          <w:u w:val="single"/>
        </w:rPr>
        <w:t xml:space="preserve">    </w:t>
      </w:r>
      <w:r>
        <w:rPr>
          <w:rFonts w:hint="default" w:ascii="Times New Roman" w:hAnsi="Times New Roman" w:cs="Times New Roman"/>
          <w:b/>
          <w:bCs/>
          <w:spacing w:val="-17"/>
          <w:sz w:val="47"/>
          <w:szCs w:val="47"/>
          <w:highlight w:val="none"/>
        </w:rPr>
        <w:t xml:space="preserve"> 年 </w:t>
      </w:r>
      <w:r>
        <w:rPr>
          <w:rFonts w:hint="default" w:ascii="Times New Roman" w:hAnsi="Times New Roman" w:cs="Times New Roman"/>
          <w:b/>
          <w:bCs/>
          <w:spacing w:val="-17"/>
          <w:sz w:val="47"/>
          <w:szCs w:val="47"/>
          <w:highlight w:val="none"/>
          <w:u w:val="single"/>
        </w:rPr>
        <w:t xml:space="preserve">    </w:t>
      </w:r>
      <w:r>
        <w:rPr>
          <w:rFonts w:hint="default" w:ascii="Times New Roman" w:hAnsi="Times New Roman" w:cs="Times New Roman"/>
          <w:b/>
          <w:bCs/>
          <w:spacing w:val="-17"/>
          <w:sz w:val="47"/>
          <w:szCs w:val="47"/>
          <w:highlight w:val="none"/>
        </w:rPr>
        <w:t>县</w:t>
      </w:r>
      <w:r>
        <w:rPr>
          <w:rFonts w:hint="default" w:ascii="Times New Roman" w:hAnsi="Times New Roman" w:cs="Times New Roman"/>
          <w:b/>
          <w:bCs/>
          <w:spacing w:val="-17"/>
          <w:sz w:val="47"/>
          <w:szCs w:val="47"/>
          <w:highlight w:val="none"/>
          <w:lang w:eastAsia="zh-CN"/>
        </w:rPr>
        <w:t>（</w:t>
      </w:r>
      <w:r>
        <w:rPr>
          <w:rFonts w:hint="default" w:ascii="Times New Roman" w:hAnsi="Times New Roman" w:cs="Times New Roman"/>
          <w:b/>
          <w:bCs/>
          <w:spacing w:val="-17"/>
          <w:sz w:val="47"/>
          <w:szCs w:val="47"/>
          <w:highlight w:val="none"/>
        </w:rPr>
        <w:t>市、区</w:t>
      </w:r>
      <w:r>
        <w:rPr>
          <w:rFonts w:hint="default" w:ascii="Times New Roman" w:hAnsi="Times New Roman" w:cs="Times New Roman"/>
          <w:b/>
          <w:bCs/>
          <w:spacing w:val="-17"/>
          <w:sz w:val="47"/>
          <w:szCs w:val="47"/>
          <w:highlight w:val="none"/>
          <w:lang w:eastAsia="zh-CN"/>
        </w:rPr>
        <w:t>）</w:t>
      </w:r>
      <w:r>
        <w:rPr>
          <w:rFonts w:hint="default" w:ascii="Times New Roman" w:hAnsi="Times New Roman" w:cs="Times New Roman"/>
          <w:b/>
          <w:bCs/>
          <w:spacing w:val="-17"/>
          <w:sz w:val="47"/>
          <w:szCs w:val="47"/>
          <w:highlight w:val="none"/>
        </w:rPr>
        <w:t>农机购置与应用补贴资金结算明细表</w:t>
      </w:r>
    </w:p>
    <w:p>
      <w:pPr>
        <w:pStyle w:val="3"/>
        <w:spacing w:before="274" w:line="226" w:lineRule="auto"/>
        <w:ind w:left="414"/>
        <w:rPr>
          <w:rFonts w:hint="default" w:ascii="Times New Roman" w:hAnsi="Times New Roman" w:eastAsia="宋体" w:cs="Times New Roman"/>
          <w:sz w:val="29"/>
          <w:szCs w:val="29"/>
          <w:highlight w:val="none"/>
          <w:lang w:eastAsia="zh-CN"/>
        </w:rPr>
      </w:pPr>
      <w:r>
        <w:rPr>
          <w:rFonts w:hint="default" w:ascii="Times New Roman" w:hAnsi="Times New Roman" w:cs="Times New Roman"/>
          <w:spacing w:val="2"/>
          <w:position w:val="2"/>
          <w:sz w:val="29"/>
          <w:szCs w:val="29"/>
          <w:highlight w:val="none"/>
        </w:rPr>
        <w:t>申请结算单位</w:t>
      </w:r>
      <w:r>
        <w:rPr>
          <w:rFonts w:hint="default" w:ascii="Times New Roman" w:hAnsi="Times New Roman" w:cs="Times New Roman"/>
          <w:spacing w:val="2"/>
          <w:position w:val="2"/>
          <w:sz w:val="29"/>
          <w:szCs w:val="29"/>
          <w:highlight w:val="none"/>
          <w:lang w:eastAsia="zh-CN"/>
        </w:rPr>
        <w:t>（</w:t>
      </w:r>
      <w:r>
        <w:rPr>
          <w:rFonts w:hint="default" w:ascii="Times New Roman" w:hAnsi="Times New Roman" w:cs="Times New Roman"/>
          <w:spacing w:val="2"/>
          <w:position w:val="2"/>
          <w:sz w:val="29"/>
          <w:szCs w:val="29"/>
          <w:highlight w:val="none"/>
        </w:rPr>
        <w:t>盖章</w:t>
      </w:r>
      <w:r>
        <w:rPr>
          <w:rFonts w:hint="default" w:ascii="Times New Roman" w:hAnsi="Times New Roman" w:cs="Times New Roman"/>
          <w:spacing w:val="2"/>
          <w:position w:val="2"/>
          <w:sz w:val="29"/>
          <w:szCs w:val="29"/>
          <w:highlight w:val="none"/>
          <w:lang w:eastAsia="zh-CN"/>
        </w:rPr>
        <w:t>）</w:t>
      </w:r>
      <w:r>
        <w:rPr>
          <w:rFonts w:hint="default" w:ascii="Times New Roman" w:hAnsi="Times New Roman" w:cs="Times New Roman"/>
          <w:spacing w:val="2"/>
          <w:position w:val="2"/>
          <w:sz w:val="29"/>
          <w:szCs w:val="29"/>
          <w:highlight w:val="none"/>
        </w:rPr>
        <w:t xml:space="preserve">:                   </w:t>
      </w:r>
      <w:r>
        <w:rPr>
          <w:rFonts w:hint="default" w:ascii="Times New Roman" w:hAnsi="Times New Roman" w:cs="Times New Roman"/>
          <w:spacing w:val="1"/>
          <w:position w:val="2"/>
          <w:sz w:val="29"/>
          <w:szCs w:val="29"/>
          <w:highlight w:val="none"/>
        </w:rPr>
        <w:t xml:space="preserve">                  </w:t>
      </w:r>
      <w:r>
        <w:rPr>
          <w:rFonts w:hint="default" w:ascii="Times New Roman" w:hAnsi="Times New Roman" w:cs="Times New Roman"/>
          <w:spacing w:val="1"/>
          <w:sz w:val="29"/>
          <w:szCs w:val="29"/>
          <w:highlight w:val="none"/>
        </w:rPr>
        <w:t xml:space="preserve">单位：元           </w:t>
      </w:r>
      <w:r>
        <w:rPr>
          <w:rFonts w:hint="default" w:ascii="Times New Roman" w:hAnsi="Times New Roman" w:cs="Times New Roman"/>
          <w:spacing w:val="1"/>
          <w:position w:val="-2"/>
          <w:sz w:val="29"/>
          <w:szCs w:val="29"/>
          <w:highlight w:val="none"/>
          <w:lang w:eastAsia="zh-CN"/>
        </w:rPr>
        <w:t>（</w:t>
      </w:r>
      <w:r>
        <w:rPr>
          <w:rFonts w:hint="default" w:ascii="Times New Roman" w:hAnsi="Times New Roman" w:cs="Times New Roman"/>
          <w:spacing w:val="1"/>
          <w:position w:val="-2"/>
          <w:sz w:val="29"/>
          <w:szCs w:val="29"/>
          <w:highlight w:val="none"/>
        </w:rPr>
        <w:t>注意：此表不得公开</w:t>
      </w:r>
      <w:r>
        <w:rPr>
          <w:rFonts w:hint="default" w:ascii="Times New Roman" w:hAnsi="Times New Roman" w:cs="Times New Roman"/>
          <w:spacing w:val="1"/>
          <w:position w:val="-2"/>
          <w:sz w:val="29"/>
          <w:szCs w:val="29"/>
          <w:highlight w:val="none"/>
          <w:lang w:eastAsia="zh-CN"/>
        </w:rPr>
        <w:t>）</w:t>
      </w:r>
    </w:p>
    <w:p>
      <w:pPr>
        <w:spacing w:line="98" w:lineRule="exact"/>
        <w:rPr>
          <w:rFonts w:hint="default" w:ascii="Times New Roman" w:hAnsi="Times New Roman" w:cs="Times New Roman"/>
          <w:highlight w:val="none"/>
        </w:rPr>
      </w:pPr>
    </w:p>
    <w:tbl>
      <w:tblPr>
        <w:tblStyle w:val="11"/>
        <w:tblW w:w="146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30"/>
        <w:gridCol w:w="740"/>
        <w:gridCol w:w="729"/>
        <w:gridCol w:w="729"/>
        <w:gridCol w:w="740"/>
        <w:gridCol w:w="739"/>
        <w:gridCol w:w="740"/>
        <w:gridCol w:w="739"/>
        <w:gridCol w:w="729"/>
        <w:gridCol w:w="740"/>
        <w:gridCol w:w="739"/>
        <w:gridCol w:w="730"/>
        <w:gridCol w:w="740"/>
        <w:gridCol w:w="739"/>
        <w:gridCol w:w="730"/>
        <w:gridCol w:w="739"/>
        <w:gridCol w:w="729"/>
        <w:gridCol w:w="74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704" w:type="dxa"/>
            <w:vAlign w:val="top"/>
          </w:tcPr>
          <w:p>
            <w:pPr>
              <w:pStyle w:val="10"/>
              <w:spacing w:line="366" w:lineRule="auto"/>
              <w:rPr>
                <w:rFonts w:hint="default" w:ascii="Times New Roman" w:hAnsi="Times New Roman" w:cs="Times New Roman"/>
                <w:highlight w:val="none"/>
              </w:rPr>
            </w:pPr>
          </w:p>
          <w:p>
            <w:pPr>
              <w:spacing w:before="65" w:line="219" w:lineRule="auto"/>
              <w:ind w:left="144"/>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2"/>
                <w:sz w:val="20"/>
                <w:szCs w:val="20"/>
                <w:highlight w:val="none"/>
              </w:rPr>
              <w:t>姓名</w:t>
            </w:r>
          </w:p>
        </w:tc>
        <w:tc>
          <w:tcPr>
            <w:tcW w:w="730" w:type="dxa"/>
            <w:vAlign w:val="top"/>
          </w:tcPr>
          <w:p>
            <w:pPr>
              <w:pStyle w:val="10"/>
              <w:spacing w:line="364" w:lineRule="auto"/>
              <w:rPr>
                <w:rFonts w:hint="default" w:ascii="Times New Roman" w:hAnsi="Times New Roman" w:cs="Times New Roman"/>
                <w:highlight w:val="none"/>
              </w:rPr>
            </w:pPr>
          </w:p>
          <w:p>
            <w:pPr>
              <w:spacing w:before="65" w:line="219" w:lineRule="auto"/>
              <w:ind w:left="50"/>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县乡村</w:t>
            </w:r>
          </w:p>
        </w:tc>
        <w:tc>
          <w:tcPr>
            <w:tcW w:w="740" w:type="dxa"/>
            <w:vAlign w:val="top"/>
          </w:tcPr>
          <w:p>
            <w:pPr>
              <w:pStyle w:val="10"/>
              <w:spacing w:line="267" w:lineRule="auto"/>
              <w:rPr>
                <w:rFonts w:hint="default" w:ascii="Times New Roman" w:hAnsi="Times New Roman" w:cs="Times New Roman"/>
                <w:highlight w:val="none"/>
              </w:rPr>
            </w:pPr>
          </w:p>
          <w:p>
            <w:pPr>
              <w:spacing w:before="65" w:line="220" w:lineRule="auto"/>
              <w:ind w:left="61"/>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户口标</w:t>
            </w:r>
          </w:p>
          <w:p>
            <w:pPr>
              <w:spacing w:before="4" w:line="223" w:lineRule="auto"/>
              <w:ind w:left="160"/>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识码</w:t>
            </w:r>
          </w:p>
        </w:tc>
        <w:tc>
          <w:tcPr>
            <w:tcW w:w="729" w:type="dxa"/>
            <w:vAlign w:val="top"/>
          </w:tcPr>
          <w:p>
            <w:pPr>
              <w:pStyle w:val="10"/>
              <w:spacing w:line="266" w:lineRule="auto"/>
              <w:rPr>
                <w:rFonts w:hint="default" w:ascii="Times New Roman" w:hAnsi="Times New Roman" w:cs="Times New Roman"/>
                <w:highlight w:val="none"/>
              </w:rPr>
            </w:pPr>
          </w:p>
          <w:p>
            <w:pPr>
              <w:spacing w:before="65" w:line="219" w:lineRule="auto"/>
              <w:ind w:left="50"/>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身份证</w:t>
            </w:r>
          </w:p>
          <w:p>
            <w:pPr>
              <w:spacing w:before="3" w:line="221" w:lineRule="auto"/>
              <w:ind w:left="150"/>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号码</w:t>
            </w:r>
          </w:p>
        </w:tc>
        <w:tc>
          <w:tcPr>
            <w:tcW w:w="729" w:type="dxa"/>
            <w:vAlign w:val="top"/>
          </w:tcPr>
          <w:p>
            <w:pPr>
              <w:spacing w:before="163" w:line="220" w:lineRule="auto"/>
              <w:ind w:left="51"/>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指标确</w:t>
            </w:r>
          </w:p>
          <w:p>
            <w:pPr>
              <w:spacing w:before="49" w:line="204" w:lineRule="auto"/>
              <w:ind w:left="151"/>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认书</w:t>
            </w:r>
          </w:p>
          <w:p>
            <w:pPr>
              <w:spacing w:line="219" w:lineRule="auto"/>
              <w:ind w:left="151"/>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编号</w:t>
            </w:r>
          </w:p>
        </w:tc>
        <w:tc>
          <w:tcPr>
            <w:tcW w:w="740" w:type="dxa"/>
            <w:vAlign w:val="top"/>
          </w:tcPr>
          <w:p>
            <w:pPr>
              <w:pStyle w:val="10"/>
              <w:spacing w:line="265" w:lineRule="auto"/>
              <w:rPr>
                <w:rFonts w:hint="default" w:ascii="Times New Roman" w:hAnsi="Times New Roman" w:cs="Times New Roman"/>
                <w:highlight w:val="none"/>
              </w:rPr>
            </w:pPr>
          </w:p>
          <w:p>
            <w:pPr>
              <w:spacing w:before="65" w:line="217" w:lineRule="auto"/>
              <w:ind w:left="162" w:right="15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购机</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6"/>
                <w:sz w:val="20"/>
                <w:szCs w:val="20"/>
                <w:highlight w:val="none"/>
              </w:rPr>
              <w:t>日期</w:t>
            </w:r>
          </w:p>
        </w:tc>
        <w:tc>
          <w:tcPr>
            <w:tcW w:w="739" w:type="dxa"/>
            <w:vAlign w:val="top"/>
          </w:tcPr>
          <w:p>
            <w:pPr>
              <w:pStyle w:val="10"/>
              <w:spacing w:line="265" w:lineRule="auto"/>
              <w:rPr>
                <w:rFonts w:hint="default" w:ascii="Times New Roman" w:hAnsi="Times New Roman" w:cs="Times New Roman"/>
                <w:highlight w:val="none"/>
              </w:rPr>
            </w:pPr>
          </w:p>
          <w:p>
            <w:pPr>
              <w:spacing w:before="65" w:line="224" w:lineRule="auto"/>
              <w:ind w:left="162" w:right="12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机具</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36"/>
                <w:sz w:val="20"/>
                <w:szCs w:val="20"/>
                <w:highlight w:val="none"/>
              </w:rPr>
              <w:t>品</w:t>
            </w:r>
            <w:r>
              <w:rPr>
                <w:rFonts w:hint="default" w:ascii="Times New Roman" w:hAnsi="Times New Roman" w:eastAsia="宋体" w:cs="Times New Roman"/>
                <w:spacing w:val="9"/>
                <w:sz w:val="20"/>
                <w:szCs w:val="20"/>
                <w:highlight w:val="none"/>
              </w:rPr>
              <w:t xml:space="preserve"> </w:t>
            </w:r>
            <w:r>
              <w:rPr>
                <w:rFonts w:hint="default" w:ascii="Times New Roman" w:hAnsi="Times New Roman" w:eastAsia="宋体" w:cs="Times New Roman"/>
                <w:spacing w:val="-36"/>
                <w:sz w:val="20"/>
                <w:szCs w:val="20"/>
                <w:highlight w:val="none"/>
              </w:rPr>
              <w:t>目</w:t>
            </w:r>
          </w:p>
        </w:tc>
        <w:tc>
          <w:tcPr>
            <w:tcW w:w="740" w:type="dxa"/>
            <w:vAlign w:val="top"/>
          </w:tcPr>
          <w:p>
            <w:pPr>
              <w:pStyle w:val="10"/>
              <w:spacing w:line="367" w:lineRule="auto"/>
              <w:rPr>
                <w:rFonts w:hint="default" w:ascii="Times New Roman" w:hAnsi="Times New Roman" w:cs="Times New Roman"/>
                <w:highlight w:val="none"/>
              </w:rPr>
            </w:pPr>
          </w:p>
          <w:p>
            <w:pPr>
              <w:spacing w:before="65" w:line="221" w:lineRule="auto"/>
              <w:ind w:left="16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型号</w:t>
            </w:r>
          </w:p>
        </w:tc>
        <w:tc>
          <w:tcPr>
            <w:tcW w:w="739" w:type="dxa"/>
            <w:vAlign w:val="top"/>
          </w:tcPr>
          <w:p>
            <w:pPr>
              <w:spacing w:before="83" w:line="219" w:lineRule="auto"/>
              <w:ind w:left="6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出厂编</w:t>
            </w:r>
          </w:p>
          <w:p>
            <w:pPr>
              <w:spacing w:before="13" w:line="211" w:lineRule="auto"/>
              <w:ind w:left="11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号[发</w:t>
            </w:r>
          </w:p>
          <w:p>
            <w:pPr>
              <w:spacing w:line="205" w:lineRule="auto"/>
              <w:ind w:left="16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动机</w:t>
            </w:r>
          </w:p>
          <w:p>
            <w:pPr>
              <w:spacing w:line="220" w:lineRule="auto"/>
              <w:ind w:left="214"/>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号</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7"/>
                <w:sz w:val="20"/>
                <w:szCs w:val="20"/>
                <w:highlight w:val="none"/>
              </w:rPr>
              <w:t>]</w:t>
            </w:r>
          </w:p>
        </w:tc>
        <w:tc>
          <w:tcPr>
            <w:tcW w:w="729" w:type="dxa"/>
            <w:vAlign w:val="top"/>
          </w:tcPr>
          <w:p>
            <w:pPr>
              <w:pStyle w:val="10"/>
              <w:spacing w:line="366" w:lineRule="auto"/>
              <w:rPr>
                <w:rFonts w:hint="default" w:ascii="Times New Roman" w:hAnsi="Times New Roman" w:cs="Times New Roman"/>
                <w:highlight w:val="none"/>
              </w:rPr>
            </w:pPr>
          </w:p>
          <w:p>
            <w:pPr>
              <w:spacing w:before="65" w:line="219" w:lineRule="auto"/>
              <w:ind w:left="54"/>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发票号</w:t>
            </w:r>
          </w:p>
        </w:tc>
        <w:tc>
          <w:tcPr>
            <w:tcW w:w="740" w:type="dxa"/>
            <w:vAlign w:val="top"/>
          </w:tcPr>
          <w:p>
            <w:pPr>
              <w:pStyle w:val="10"/>
              <w:spacing w:line="256" w:lineRule="auto"/>
              <w:rPr>
                <w:rFonts w:hint="default" w:ascii="Times New Roman" w:hAnsi="Times New Roman" w:cs="Times New Roman"/>
                <w:highlight w:val="none"/>
              </w:rPr>
            </w:pPr>
          </w:p>
          <w:p>
            <w:pPr>
              <w:spacing w:before="65" w:line="235" w:lineRule="auto"/>
              <w:ind w:left="165" w:right="151"/>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生产</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3"/>
                <w:sz w:val="20"/>
                <w:szCs w:val="20"/>
                <w:highlight w:val="none"/>
              </w:rPr>
              <w:t>企业</w:t>
            </w:r>
          </w:p>
        </w:tc>
        <w:tc>
          <w:tcPr>
            <w:tcW w:w="739" w:type="dxa"/>
            <w:vAlign w:val="top"/>
          </w:tcPr>
          <w:p>
            <w:pPr>
              <w:pStyle w:val="10"/>
              <w:spacing w:line="366" w:lineRule="auto"/>
              <w:rPr>
                <w:rFonts w:hint="default" w:ascii="Times New Roman" w:hAnsi="Times New Roman" w:cs="Times New Roman"/>
                <w:highlight w:val="none"/>
              </w:rPr>
            </w:pPr>
          </w:p>
          <w:p>
            <w:pPr>
              <w:spacing w:before="65" w:line="220" w:lineRule="auto"/>
              <w:ind w:left="65"/>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经销商</w:t>
            </w:r>
          </w:p>
        </w:tc>
        <w:tc>
          <w:tcPr>
            <w:tcW w:w="730" w:type="dxa"/>
            <w:vAlign w:val="top"/>
          </w:tcPr>
          <w:p>
            <w:pPr>
              <w:pStyle w:val="10"/>
              <w:spacing w:line="366" w:lineRule="auto"/>
              <w:rPr>
                <w:rFonts w:hint="default" w:ascii="Times New Roman" w:hAnsi="Times New Roman" w:cs="Times New Roman"/>
                <w:highlight w:val="none"/>
              </w:rPr>
            </w:pPr>
          </w:p>
          <w:p>
            <w:pPr>
              <w:spacing w:before="65" w:line="219" w:lineRule="auto"/>
              <w:ind w:left="15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数量</w:t>
            </w:r>
          </w:p>
        </w:tc>
        <w:tc>
          <w:tcPr>
            <w:tcW w:w="740" w:type="dxa"/>
            <w:vAlign w:val="top"/>
          </w:tcPr>
          <w:p>
            <w:pPr>
              <w:spacing w:before="205" w:line="220" w:lineRule="auto"/>
              <w:ind w:left="67" w:right="53"/>
              <w:jc w:val="both"/>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设备设</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3"/>
                <w:sz w:val="20"/>
                <w:szCs w:val="20"/>
                <w:highlight w:val="none"/>
              </w:rPr>
              <w:t>施类实</w:t>
            </w:r>
            <w:r>
              <w:rPr>
                <w:rFonts w:hint="default" w:ascii="Times New Roman" w:hAnsi="Times New Roman" w:eastAsia="宋体" w:cs="Times New Roman"/>
                <w:spacing w:val="1"/>
                <w:sz w:val="20"/>
                <w:szCs w:val="20"/>
                <w:highlight w:val="none"/>
              </w:rPr>
              <w:t xml:space="preserve"> </w:t>
            </w:r>
            <w:r>
              <w:rPr>
                <w:rFonts w:hint="default" w:ascii="Times New Roman" w:hAnsi="Times New Roman" w:eastAsia="宋体" w:cs="Times New Roman"/>
                <w:spacing w:val="2"/>
                <w:sz w:val="20"/>
                <w:szCs w:val="20"/>
                <w:highlight w:val="none"/>
              </w:rPr>
              <w:t>际数量</w:t>
            </w:r>
          </w:p>
        </w:tc>
        <w:tc>
          <w:tcPr>
            <w:tcW w:w="739" w:type="dxa"/>
            <w:vAlign w:val="top"/>
          </w:tcPr>
          <w:p>
            <w:pPr>
              <w:pStyle w:val="10"/>
              <w:spacing w:line="257" w:lineRule="auto"/>
              <w:rPr>
                <w:rFonts w:hint="default" w:ascii="Times New Roman" w:hAnsi="Times New Roman" w:cs="Times New Roman"/>
                <w:highlight w:val="none"/>
              </w:rPr>
            </w:pPr>
          </w:p>
          <w:p>
            <w:pPr>
              <w:spacing w:before="65" w:line="223" w:lineRule="auto"/>
              <w:ind w:left="167" w:right="170"/>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销售</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5"/>
                <w:sz w:val="20"/>
                <w:szCs w:val="20"/>
                <w:highlight w:val="none"/>
              </w:rPr>
              <w:t>价格</w:t>
            </w:r>
          </w:p>
        </w:tc>
        <w:tc>
          <w:tcPr>
            <w:tcW w:w="730" w:type="dxa"/>
            <w:vAlign w:val="top"/>
          </w:tcPr>
          <w:p>
            <w:pPr>
              <w:pStyle w:val="10"/>
              <w:spacing w:line="248" w:lineRule="auto"/>
              <w:rPr>
                <w:rFonts w:hint="default" w:ascii="Times New Roman" w:hAnsi="Times New Roman" w:cs="Times New Roman"/>
                <w:highlight w:val="none"/>
              </w:rPr>
            </w:pPr>
          </w:p>
          <w:p>
            <w:pPr>
              <w:spacing w:before="65" w:line="215" w:lineRule="auto"/>
              <w:ind w:left="157" w:right="153"/>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rPr>
              <w:t>中央</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3"/>
                <w:sz w:val="20"/>
                <w:szCs w:val="20"/>
                <w:highlight w:val="none"/>
              </w:rPr>
              <w:t>金额</w:t>
            </w:r>
          </w:p>
        </w:tc>
        <w:tc>
          <w:tcPr>
            <w:tcW w:w="739" w:type="dxa"/>
            <w:vAlign w:val="top"/>
          </w:tcPr>
          <w:p>
            <w:pPr>
              <w:spacing w:before="203" w:line="203" w:lineRule="auto"/>
              <w:ind w:left="6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报废更</w:t>
            </w:r>
          </w:p>
          <w:p>
            <w:pPr>
              <w:spacing w:line="219" w:lineRule="auto"/>
              <w:ind w:left="6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rPr>
              <w:t>新补贴</w:t>
            </w:r>
          </w:p>
          <w:p>
            <w:pPr>
              <w:spacing w:before="12" w:line="219" w:lineRule="auto"/>
              <w:ind w:left="267"/>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额</w:t>
            </w:r>
          </w:p>
        </w:tc>
        <w:tc>
          <w:tcPr>
            <w:tcW w:w="729" w:type="dxa"/>
            <w:vAlign w:val="top"/>
          </w:tcPr>
          <w:p>
            <w:pPr>
              <w:spacing w:before="304" w:line="225" w:lineRule="auto"/>
              <w:ind w:left="158" w:right="132"/>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3"/>
                <w:sz w:val="20"/>
                <w:szCs w:val="20"/>
                <w:highlight w:val="none"/>
              </w:rPr>
              <w:t>开户</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3"/>
                <w:sz w:val="20"/>
                <w:szCs w:val="20"/>
                <w:highlight w:val="none"/>
              </w:rPr>
              <w:t>银行</w:t>
            </w:r>
          </w:p>
        </w:tc>
        <w:tc>
          <w:tcPr>
            <w:tcW w:w="740" w:type="dxa"/>
            <w:vAlign w:val="top"/>
          </w:tcPr>
          <w:p>
            <w:pPr>
              <w:pStyle w:val="10"/>
              <w:spacing w:line="257" w:lineRule="auto"/>
              <w:rPr>
                <w:rFonts w:hint="default" w:ascii="Times New Roman" w:hAnsi="Times New Roman" w:cs="Times New Roman"/>
                <w:highlight w:val="none"/>
              </w:rPr>
            </w:pPr>
          </w:p>
          <w:p>
            <w:pPr>
              <w:spacing w:before="65" w:line="217" w:lineRule="auto"/>
              <w:ind w:left="169" w:right="132"/>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3"/>
                <w:sz w:val="20"/>
                <w:szCs w:val="20"/>
                <w:highlight w:val="none"/>
              </w:rPr>
              <w:t>开户</w:t>
            </w:r>
            <w:r>
              <w:rPr>
                <w:rFonts w:hint="default" w:ascii="Times New Roman" w:hAnsi="Times New Roman" w:eastAsia="宋体" w:cs="Times New Roman"/>
                <w:sz w:val="20"/>
                <w:szCs w:val="20"/>
                <w:highlight w:val="none"/>
              </w:rPr>
              <w:t xml:space="preserve"> </w:t>
            </w:r>
            <w:r>
              <w:rPr>
                <w:rFonts w:hint="default" w:ascii="Times New Roman" w:hAnsi="Times New Roman" w:eastAsia="宋体" w:cs="Times New Roman"/>
                <w:spacing w:val="6"/>
                <w:sz w:val="20"/>
                <w:szCs w:val="20"/>
                <w:highlight w:val="none"/>
              </w:rPr>
              <w:t>账号</w:t>
            </w:r>
          </w:p>
        </w:tc>
        <w:tc>
          <w:tcPr>
            <w:tcW w:w="734" w:type="dxa"/>
            <w:vAlign w:val="top"/>
          </w:tcPr>
          <w:p>
            <w:pPr>
              <w:pStyle w:val="10"/>
              <w:spacing w:line="366" w:lineRule="auto"/>
              <w:rPr>
                <w:rFonts w:hint="default" w:ascii="Times New Roman" w:hAnsi="Times New Roman" w:cs="Times New Roman"/>
                <w:highlight w:val="none"/>
              </w:rPr>
            </w:pPr>
          </w:p>
          <w:p>
            <w:pPr>
              <w:spacing w:before="65" w:line="219" w:lineRule="auto"/>
              <w:ind w:left="59"/>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持有人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04" w:type="dxa"/>
            <w:vAlign w:val="top"/>
          </w:tcPr>
          <w:p>
            <w:pPr>
              <w:spacing w:before="160" w:line="184" w:lineRule="auto"/>
              <w:ind w:left="294"/>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730" w:type="dxa"/>
            <w:vAlign w:val="top"/>
          </w:tcPr>
          <w:p>
            <w:pPr>
              <w:spacing w:before="161" w:line="183" w:lineRule="auto"/>
              <w:ind w:left="300"/>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740" w:type="dxa"/>
            <w:vAlign w:val="top"/>
          </w:tcPr>
          <w:p>
            <w:pPr>
              <w:spacing w:before="161" w:line="183" w:lineRule="auto"/>
              <w:ind w:left="310"/>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729" w:type="dxa"/>
            <w:vAlign w:val="top"/>
          </w:tcPr>
          <w:p>
            <w:pPr>
              <w:spacing w:before="161" w:line="183" w:lineRule="auto"/>
              <w:ind w:left="300"/>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w:t>
            </w:r>
          </w:p>
        </w:tc>
        <w:tc>
          <w:tcPr>
            <w:tcW w:w="729" w:type="dxa"/>
            <w:vAlign w:val="top"/>
          </w:tcPr>
          <w:p>
            <w:pPr>
              <w:spacing w:before="162" w:line="182" w:lineRule="auto"/>
              <w:ind w:left="301"/>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w:t>
            </w:r>
          </w:p>
        </w:tc>
        <w:tc>
          <w:tcPr>
            <w:tcW w:w="740" w:type="dxa"/>
            <w:vAlign w:val="top"/>
          </w:tcPr>
          <w:p>
            <w:pPr>
              <w:spacing w:before="161" w:line="183" w:lineRule="auto"/>
              <w:ind w:left="313"/>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w:t>
            </w:r>
          </w:p>
        </w:tc>
        <w:tc>
          <w:tcPr>
            <w:tcW w:w="739" w:type="dxa"/>
            <w:vAlign w:val="top"/>
          </w:tcPr>
          <w:p>
            <w:pPr>
              <w:spacing w:before="162" w:line="182" w:lineRule="auto"/>
              <w:ind w:left="312"/>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7</w:t>
            </w:r>
          </w:p>
        </w:tc>
        <w:tc>
          <w:tcPr>
            <w:tcW w:w="740" w:type="dxa"/>
            <w:vAlign w:val="top"/>
          </w:tcPr>
          <w:p>
            <w:pPr>
              <w:spacing w:before="161" w:line="183" w:lineRule="auto"/>
              <w:ind w:left="314"/>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8</w:t>
            </w:r>
          </w:p>
        </w:tc>
        <w:tc>
          <w:tcPr>
            <w:tcW w:w="739" w:type="dxa"/>
            <w:vAlign w:val="top"/>
          </w:tcPr>
          <w:p>
            <w:pPr>
              <w:spacing w:before="161" w:line="183" w:lineRule="auto"/>
              <w:ind w:left="313"/>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9</w:t>
            </w:r>
          </w:p>
        </w:tc>
        <w:tc>
          <w:tcPr>
            <w:tcW w:w="729" w:type="dxa"/>
            <w:vAlign w:val="top"/>
          </w:tcPr>
          <w:p>
            <w:pPr>
              <w:spacing w:before="160" w:line="184" w:lineRule="auto"/>
              <w:ind w:left="254"/>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10</w:t>
            </w:r>
          </w:p>
        </w:tc>
        <w:tc>
          <w:tcPr>
            <w:tcW w:w="740" w:type="dxa"/>
            <w:vAlign w:val="top"/>
          </w:tcPr>
          <w:p>
            <w:pPr>
              <w:spacing w:before="160" w:line="184" w:lineRule="auto"/>
              <w:ind w:left="266"/>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11</w:t>
            </w:r>
          </w:p>
        </w:tc>
        <w:tc>
          <w:tcPr>
            <w:tcW w:w="739" w:type="dxa"/>
            <w:vAlign w:val="top"/>
          </w:tcPr>
          <w:p>
            <w:pPr>
              <w:spacing w:before="160" w:line="184" w:lineRule="auto"/>
              <w:ind w:left="265"/>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12</w:t>
            </w:r>
          </w:p>
        </w:tc>
        <w:tc>
          <w:tcPr>
            <w:tcW w:w="730" w:type="dxa"/>
            <w:vAlign w:val="top"/>
          </w:tcPr>
          <w:p>
            <w:pPr>
              <w:spacing w:before="160" w:line="184" w:lineRule="auto"/>
              <w:ind w:left="256"/>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13</w:t>
            </w:r>
          </w:p>
        </w:tc>
        <w:tc>
          <w:tcPr>
            <w:tcW w:w="740" w:type="dxa"/>
            <w:vAlign w:val="top"/>
          </w:tcPr>
          <w:p>
            <w:pPr>
              <w:spacing w:before="160" w:line="184" w:lineRule="auto"/>
              <w:ind w:left="26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14</w:t>
            </w:r>
          </w:p>
        </w:tc>
        <w:tc>
          <w:tcPr>
            <w:tcW w:w="739" w:type="dxa"/>
            <w:vAlign w:val="top"/>
          </w:tcPr>
          <w:p>
            <w:pPr>
              <w:spacing w:before="160" w:line="184" w:lineRule="auto"/>
              <w:ind w:left="266"/>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15</w:t>
            </w:r>
          </w:p>
        </w:tc>
        <w:tc>
          <w:tcPr>
            <w:tcW w:w="730" w:type="dxa"/>
            <w:vAlign w:val="top"/>
          </w:tcPr>
          <w:p>
            <w:pPr>
              <w:spacing w:before="160" w:line="184" w:lineRule="auto"/>
              <w:ind w:left="25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16</w:t>
            </w:r>
          </w:p>
        </w:tc>
        <w:tc>
          <w:tcPr>
            <w:tcW w:w="739" w:type="dxa"/>
            <w:vAlign w:val="top"/>
          </w:tcPr>
          <w:p>
            <w:pPr>
              <w:spacing w:before="160" w:line="184" w:lineRule="auto"/>
              <w:ind w:left="267"/>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17</w:t>
            </w:r>
          </w:p>
        </w:tc>
        <w:tc>
          <w:tcPr>
            <w:tcW w:w="729" w:type="dxa"/>
            <w:vAlign w:val="top"/>
          </w:tcPr>
          <w:p>
            <w:pPr>
              <w:spacing w:before="160" w:line="184" w:lineRule="auto"/>
              <w:ind w:left="258"/>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18</w:t>
            </w:r>
          </w:p>
        </w:tc>
        <w:tc>
          <w:tcPr>
            <w:tcW w:w="740" w:type="dxa"/>
            <w:vAlign w:val="top"/>
          </w:tcPr>
          <w:p>
            <w:pPr>
              <w:spacing w:before="160" w:line="184" w:lineRule="auto"/>
              <w:ind w:left="269"/>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19</w:t>
            </w:r>
          </w:p>
        </w:tc>
        <w:tc>
          <w:tcPr>
            <w:tcW w:w="734" w:type="dxa"/>
            <w:vAlign w:val="top"/>
          </w:tcPr>
          <w:p>
            <w:pPr>
              <w:spacing w:before="161" w:line="183" w:lineRule="auto"/>
              <w:ind w:left="259"/>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4"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30" w:type="dxa"/>
            <w:vAlign w:val="top"/>
          </w:tcPr>
          <w:p>
            <w:pPr>
              <w:pStyle w:val="10"/>
              <w:rPr>
                <w:rFonts w:hint="default" w:ascii="Times New Roman" w:hAnsi="Times New Roman" w:cs="Times New Roman"/>
                <w:highlight w:val="none"/>
              </w:rPr>
            </w:pPr>
          </w:p>
        </w:tc>
        <w:tc>
          <w:tcPr>
            <w:tcW w:w="739" w:type="dxa"/>
            <w:vAlign w:val="top"/>
          </w:tcPr>
          <w:p>
            <w:pPr>
              <w:pStyle w:val="10"/>
              <w:rPr>
                <w:rFonts w:hint="default" w:ascii="Times New Roman" w:hAnsi="Times New Roman" w:cs="Times New Roman"/>
                <w:highlight w:val="none"/>
              </w:rPr>
            </w:pPr>
          </w:p>
        </w:tc>
        <w:tc>
          <w:tcPr>
            <w:tcW w:w="729" w:type="dxa"/>
            <w:vAlign w:val="top"/>
          </w:tcPr>
          <w:p>
            <w:pPr>
              <w:pStyle w:val="10"/>
              <w:rPr>
                <w:rFonts w:hint="default" w:ascii="Times New Roman" w:hAnsi="Times New Roman" w:cs="Times New Roman"/>
                <w:highlight w:val="none"/>
              </w:rPr>
            </w:pPr>
          </w:p>
        </w:tc>
        <w:tc>
          <w:tcPr>
            <w:tcW w:w="740" w:type="dxa"/>
            <w:vAlign w:val="top"/>
          </w:tcPr>
          <w:p>
            <w:pPr>
              <w:pStyle w:val="10"/>
              <w:rPr>
                <w:rFonts w:hint="default" w:ascii="Times New Roman" w:hAnsi="Times New Roman" w:cs="Times New Roman"/>
                <w:highlight w:val="none"/>
              </w:rPr>
            </w:pPr>
          </w:p>
        </w:tc>
        <w:tc>
          <w:tcPr>
            <w:tcW w:w="734" w:type="dxa"/>
            <w:vAlign w:val="top"/>
          </w:tcPr>
          <w:p>
            <w:pPr>
              <w:pStyle w:val="10"/>
              <w:rPr>
                <w:rFonts w:hint="default" w:ascii="Times New Roman" w:hAnsi="Times New Roman" w:cs="Times New Roman"/>
                <w:highlight w:val="none"/>
              </w:rPr>
            </w:pPr>
          </w:p>
        </w:tc>
      </w:tr>
    </w:tbl>
    <w:p>
      <w:pPr>
        <w:pStyle w:val="3"/>
        <w:spacing w:before="175" w:line="226" w:lineRule="auto"/>
        <w:ind w:left="374"/>
        <w:rPr>
          <w:rFonts w:hint="default" w:ascii="Times New Roman" w:hAnsi="Times New Roman" w:eastAsia="宋体" w:cs="Times New Roman"/>
          <w:sz w:val="24"/>
          <w:szCs w:val="24"/>
          <w:highlight w:val="none"/>
          <w:lang w:eastAsia="zh-CN"/>
        </w:rPr>
      </w:pPr>
      <w:r>
        <w:rPr>
          <w:rFonts w:hint="default" w:ascii="Times New Roman" w:hAnsi="Times New Roman" w:cs="Times New Roman"/>
          <w:spacing w:val="1"/>
          <w:position w:val="1"/>
          <w:sz w:val="24"/>
          <w:szCs w:val="24"/>
          <w:highlight w:val="none"/>
        </w:rPr>
        <w:t xml:space="preserve">农业农村部门主要负责人签字：       </w:t>
      </w:r>
      <w:r>
        <w:rPr>
          <w:rFonts w:hint="default" w:ascii="Times New Roman" w:hAnsi="Times New Roman" w:cs="Times New Roman"/>
          <w:position w:val="1"/>
          <w:sz w:val="24"/>
          <w:szCs w:val="24"/>
          <w:highlight w:val="none"/>
        </w:rPr>
        <w:t xml:space="preserve">                                     </w:t>
      </w:r>
      <w:r>
        <w:rPr>
          <w:rFonts w:hint="default" w:ascii="Times New Roman" w:hAnsi="Times New Roman" w:cs="Times New Roman"/>
          <w:position w:val="-2"/>
          <w:sz w:val="24"/>
          <w:szCs w:val="24"/>
          <w:highlight w:val="none"/>
        </w:rPr>
        <w:t>年    月    日</w:t>
      </w:r>
      <w:r>
        <w:rPr>
          <w:rFonts w:hint="default" w:ascii="Times New Roman" w:hAnsi="Times New Roman" w:cs="Times New Roman"/>
          <w:spacing w:val="20"/>
          <w:position w:val="-2"/>
          <w:sz w:val="24"/>
          <w:szCs w:val="24"/>
          <w:highlight w:val="none"/>
        </w:rPr>
        <w:t xml:space="preserve">  </w:t>
      </w:r>
      <w:r>
        <w:rPr>
          <w:rFonts w:hint="default" w:ascii="Times New Roman" w:hAnsi="Times New Roman" w:cs="Times New Roman"/>
          <w:position w:val="-2"/>
          <w:sz w:val="24"/>
          <w:szCs w:val="24"/>
          <w:highlight w:val="none"/>
          <w:lang w:eastAsia="zh-CN"/>
        </w:rPr>
        <w:t>（</w:t>
      </w:r>
      <w:r>
        <w:rPr>
          <w:rFonts w:hint="default" w:ascii="Times New Roman" w:hAnsi="Times New Roman" w:cs="Times New Roman"/>
          <w:position w:val="-2"/>
          <w:sz w:val="24"/>
          <w:szCs w:val="24"/>
          <w:highlight w:val="none"/>
        </w:rPr>
        <w:t>公章</w:t>
      </w:r>
      <w:r>
        <w:rPr>
          <w:rFonts w:hint="default" w:ascii="Times New Roman" w:hAnsi="Times New Roman" w:cs="Times New Roman"/>
          <w:position w:val="-2"/>
          <w:sz w:val="24"/>
          <w:szCs w:val="24"/>
          <w:highlight w:val="none"/>
          <w:lang w:eastAsia="zh-CN"/>
        </w:rPr>
        <w:t>）</w:t>
      </w:r>
    </w:p>
    <w:p>
      <w:pPr>
        <w:spacing w:line="226" w:lineRule="auto"/>
        <w:rPr>
          <w:rFonts w:hint="default" w:ascii="Times New Roman" w:hAnsi="Times New Roman" w:cs="Times New Roman"/>
          <w:sz w:val="24"/>
          <w:szCs w:val="24"/>
          <w:highlight w:val="none"/>
        </w:rPr>
        <w:sectPr>
          <w:pgSz w:w="16820" w:h="11900" w:orient="landscape"/>
          <w:pgMar w:top="1011" w:right="1214" w:bottom="400" w:left="915" w:header="0" w:footer="0" w:gutter="0"/>
          <w:pgNumType w:fmt="decimal"/>
          <w:cols w:space="720" w:num="1"/>
        </w:sectPr>
      </w:pPr>
    </w:p>
    <w:p>
      <w:pPr>
        <w:spacing w:line="301" w:lineRule="auto"/>
        <w:rPr>
          <w:rFonts w:hint="default" w:ascii="Times New Roman" w:hAnsi="Times New Roman" w:cs="Times New Roman"/>
          <w:sz w:val="21"/>
          <w:highlight w:val="none"/>
        </w:rPr>
      </w:pPr>
    </w:p>
    <w:p>
      <w:pPr>
        <w:spacing w:line="302" w:lineRule="auto"/>
        <w:rPr>
          <w:rFonts w:hint="default" w:ascii="Times New Roman" w:hAnsi="Times New Roman" w:cs="Times New Roman"/>
          <w:sz w:val="21"/>
          <w:highlight w:val="none"/>
        </w:rPr>
      </w:pPr>
    </w:p>
    <w:p>
      <w:pPr>
        <w:spacing w:before="104" w:line="224" w:lineRule="auto"/>
        <w:ind w:left="49"/>
        <w:rPr>
          <w:rFonts w:hint="default" w:ascii="Times New Roman" w:hAnsi="Times New Roman" w:eastAsia="黑体" w:cs="Times New Roman"/>
          <w:sz w:val="32"/>
          <w:szCs w:val="32"/>
          <w:highlight w:val="none"/>
        </w:rPr>
      </w:pPr>
      <w:r>
        <w:rPr>
          <w:rFonts w:hint="default" w:ascii="Times New Roman" w:hAnsi="Times New Roman" w:eastAsia="黑体" w:cs="Times New Roman"/>
          <w:b/>
          <w:bCs/>
          <w:spacing w:val="22"/>
          <w:sz w:val="32"/>
          <w:szCs w:val="32"/>
          <w:highlight w:val="none"/>
        </w:rPr>
        <w:t>附件3</w:t>
      </w:r>
    </w:p>
    <w:p>
      <w:pPr>
        <w:pStyle w:val="3"/>
        <w:spacing w:before="158" w:line="219" w:lineRule="auto"/>
        <w:ind w:left="734"/>
        <w:outlineLvl w:val="6"/>
        <w:rPr>
          <w:rFonts w:hint="default" w:ascii="Times New Roman" w:hAnsi="Times New Roman" w:cs="Times New Roman"/>
          <w:sz w:val="47"/>
          <w:szCs w:val="47"/>
          <w:highlight w:val="none"/>
        </w:rPr>
      </w:pPr>
      <w:r>
        <w:rPr>
          <w:rFonts w:hint="default" w:ascii="Times New Roman" w:hAnsi="Times New Roman" w:eastAsia="Times New Roman" w:cs="Times New Roman"/>
          <w:b/>
          <w:bCs/>
          <w:spacing w:val="-2"/>
          <w:sz w:val="47"/>
          <w:szCs w:val="47"/>
          <w:highlight w:val="none"/>
        </w:rPr>
        <w:t>202</w:t>
      </w:r>
      <w:r>
        <w:rPr>
          <w:rFonts w:hint="default" w:ascii="Times New Roman" w:hAnsi="Times New Roman" w:eastAsia="Times New Roman" w:cs="Times New Roman"/>
          <w:b/>
          <w:bCs/>
          <w:spacing w:val="37"/>
          <w:sz w:val="47"/>
          <w:szCs w:val="47"/>
          <w:highlight w:val="none"/>
          <w:u w:val="single" w:color="auto"/>
        </w:rPr>
        <w:t xml:space="preserve">   </w:t>
      </w:r>
      <w:r>
        <w:rPr>
          <w:rFonts w:hint="default" w:ascii="Times New Roman" w:hAnsi="Times New Roman" w:eastAsia="Times New Roman" w:cs="Times New Roman"/>
          <w:b/>
          <w:bCs/>
          <w:spacing w:val="-109"/>
          <w:sz w:val="47"/>
          <w:szCs w:val="47"/>
          <w:highlight w:val="none"/>
        </w:rPr>
        <w:t xml:space="preserve"> </w:t>
      </w:r>
      <w:r>
        <w:rPr>
          <w:rFonts w:hint="default" w:ascii="Times New Roman" w:hAnsi="Times New Roman" w:cs="Times New Roman"/>
          <w:b/>
          <w:bCs/>
          <w:spacing w:val="-2"/>
          <w:sz w:val="47"/>
          <w:szCs w:val="47"/>
          <w:highlight w:val="none"/>
        </w:rPr>
        <w:t>年县</w:t>
      </w:r>
      <w:r>
        <w:rPr>
          <w:rFonts w:hint="default" w:ascii="Times New Roman" w:hAnsi="Times New Roman" w:cs="Times New Roman"/>
          <w:b/>
          <w:bCs/>
          <w:spacing w:val="-2"/>
          <w:sz w:val="47"/>
          <w:szCs w:val="47"/>
          <w:highlight w:val="none"/>
          <w:lang w:eastAsia="zh-CN"/>
        </w:rPr>
        <w:t>（</w:t>
      </w:r>
      <w:r>
        <w:rPr>
          <w:rFonts w:hint="default" w:ascii="Times New Roman" w:hAnsi="Times New Roman" w:cs="Times New Roman"/>
          <w:b/>
          <w:bCs/>
          <w:spacing w:val="-2"/>
          <w:sz w:val="47"/>
          <w:szCs w:val="47"/>
          <w:highlight w:val="none"/>
        </w:rPr>
        <w:t>市、区</w:t>
      </w:r>
      <w:r>
        <w:rPr>
          <w:rFonts w:hint="default" w:ascii="Times New Roman" w:hAnsi="Times New Roman" w:cs="Times New Roman"/>
          <w:b/>
          <w:bCs/>
          <w:spacing w:val="-2"/>
          <w:sz w:val="47"/>
          <w:szCs w:val="47"/>
          <w:highlight w:val="none"/>
          <w:lang w:eastAsia="zh-CN"/>
        </w:rPr>
        <w:t>）</w:t>
      </w:r>
      <w:r>
        <w:rPr>
          <w:rFonts w:hint="default" w:ascii="Times New Roman" w:hAnsi="Times New Roman" w:cs="Times New Roman"/>
          <w:b/>
          <w:bCs/>
          <w:spacing w:val="-2"/>
          <w:sz w:val="47"/>
          <w:szCs w:val="47"/>
          <w:highlight w:val="none"/>
        </w:rPr>
        <w:t>享受农机购置与应用补贴的购机者信息表</w:t>
      </w:r>
    </w:p>
    <w:p>
      <w:pPr>
        <w:spacing w:line="268" w:lineRule="auto"/>
        <w:rPr>
          <w:rFonts w:hint="default" w:ascii="Times New Roman" w:hAnsi="Times New Roman" w:cs="Times New Roman"/>
          <w:sz w:val="21"/>
          <w:highlight w:val="none"/>
        </w:rPr>
      </w:pPr>
    </w:p>
    <w:p>
      <w:pPr>
        <w:pStyle w:val="3"/>
        <w:spacing w:before="95" w:line="227" w:lineRule="auto"/>
        <w:ind w:left="25"/>
        <w:rPr>
          <w:rFonts w:hint="default" w:ascii="Times New Roman" w:hAnsi="Times New Roman" w:cs="Times New Roman"/>
          <w:sz w:val="29"/>
          <w:szCs w:val="29"/>
          <w:highlight w:val="none"/>
        </w:rPr>
      </w:pPr>
      <w:r>
        <w:rPr>
          <w:rFonts w:hint="default" w:ascii="Times New Roman" w:hAnsi="Times New Roman" w:cs="Times New Roman"/>
          <w:spacing w:val="-1"/>
          <w:sz w:val="29"/>
          <w:szCs w:val="29"/>
          <w:highlight w:val="none"/>
        </w:rPr>
        <w:t>公开单位：</w:t>
      </w:r>
      <w:r>
        <w:rPr>
          <w:rFonts w:hint="default" w:ascii="Times New Roman" w:hAnsi="Times New Roman" w:cs="Times New Roman"/>
          <w:spacing w:val="2"/>
          <w:sz w:val="29"/>
          <w:szCs w:val="29"/>
          <w:highlight w:val="none"/>
        </w:rPr>
        <w:t xml:space="preserve">                                </w:t>
      </w:r>
      <w:r>
        <w:rPr>
          <w:rFonts w:hint="default" w:ascii="Times New Roman" w:hAnsi="Times New Roman" w:cs="Times New Roman"/>
          <w:spacing w:val="1"/>
          <w:sz w:val="29"/>
          <w:szCs w:val="29"/>
          <w:highlight w:val="none"/>
        </w:rPr>
        <w:t xml:space="preserve">                     </w:t>
      </w:r>
      <w:r>
        <w:rPr>
          <w:rFonts w:hint="default" w:ascii="Times New Roman" w:hAnsi="Times New Roman" w:cs="Times New Roman"/>
          <w:spacing w:val="-1"/>
          <w:sz w:val="29"/>
          <w:szCs w:val="29"/>
          <w:highlight w:val="none"/>
        </w:rPr>
        <w:t>公开时间：     年</w:t>
      </w:r>
      <w:r>
        <w:rPr>
          <w:rFonts w:hint="default" w:ascii="Times New Roman" w:hAnsi="Times New Roman" w:cs="Times New Roman"/>
          <w:spacing w:val="17"/>
          <w:sz w:val="29"/>
          <w:szCs w:val="29"/>
          <w:highlight w:val="none"/>
        </w:rPr>
        <w:t xml:space="preserve">   </w:t>
      </w:r>
      <w:r>
        <w:rPr>
          <w:rFonts w:hint="default" w:ascii="Times New Roman" w:hAnsi="Times New Roman" w:cs="Times New Roman"/>
          <w:spacing w:val="-1"/>
          <w:sz w:val="29"/>
          <w:szCs w:val="29"/>
          <w:highlight w:val="none"/>
        </w:rPr>
        <w:t>月</w:t>
      </w:r>
      <w:r>
        <w:rPr>
          <w:rFonts w:hint="default" w:ascii="Times New Roman" w:hAnsi="Times New Roman" w:cs="Times New Roman"/>
          <w:spacing w:val="44"/>
          <w:sz w:val="29"/>
          <w:szCs w:val="29"/>
          <w:highlight w:val="none"/>
        </w:rPr>
        <w:t xml:space="preserve">  </w:t>
      </w:r>
      <w:r>
        <w:rPr>
          <w:rFonts w:hint="default" w:ascii="Times New Roman" w:hAnsi="Times New Roman" w:cs="Times New Roman"/>
          <w:spacing w:val="-1"/>
          <w:sz w:val="29"/>
          <w:szCs w:val="29"/>
          <w:highlight w:val="none"/>
        </w:rPr>
        <w:t>日</w:t>
      </w:r>
    </w:p>
    <w:p>
      <w:pPr>
        <w:spacing w:line="106" w:lineRule="exact"/>
        <w:rPr>
          <w:rFonts w:hint="default" w:ascii="Times New Roman" w:hAnsi="Times New Roman" w:cs="Times New Roman"/>
          <w:highlight w:val="none"/>
        </w:rPr>
      </w:pPr>
    </w:p>
    <w:tbl>
      <w:tblPr>
        <w:tblStyle w:val="11"/>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079"/>
        <w:gridCol w:w="1069"/>
        <w:gridCol w:w="1110"/>
        <w:gridCol w:w="1069"/>
        <w:gridCol w:w="1099"/>
        <w:gridCol w:w="1079"/>
        <w:gridCol w:w="1099"/>
        <w:gridCol w:w="1079"/>
        <w:gridCol w:w="1099"/>
        <w:gridCol w:w="1079"/>
        <w:gridCol w:w="1100"/>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64" w:type="dxa"/>
            <w:vAlign w:val="top"/>
          </w:tcPr>
          <w:p>
            <w:pPr>
              <w:spacing w:before="196" w:line="221" w:lineRule="auto"/>
              <w:ind w:left="275"/>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7"/>
                <w:sz w:val="25"/>
                <w:szCs w:val="25"/>
                <w:highlight w:val="none"/>
              </w:rPr>
              <w:t>序号</w:t>
            </w:r>
          </w:p>
        </w:tc>
        <w:tc>
          <w:tcPr>
            <w:tcW w:w="1079" w:type="dxa"/>
            <w:vAlign w:val="top"/>
          </w:tcPr>
          <w:p>
            <w:pPr>
              <w:spacing w:before="16" w:line="220" w:lineRule="auto"/>
              <w:ind w:left="150"/>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11"/>
                <w:sz w:val="25"/>
                <w:szCs w:val="25"/>
                <w:highlight w:val="none"/>
              </w:rPr>
              <w:t>所在乡</w:t>
            </w:r>
          </w:p>
          <w:p>
            <w:pPr>
              <w:spacing w:before="40" w:line="199" w:lineRule="auto"/>
              <w:ind w:left="280"/>
              <w:rPr>
                <w:rFonts w:hint="default" w:ascii="Times New Roman" w:hAnsi="Times New Roman" w:eastAsia="宋体" w:cs="Times New Roman"/>
                <w:sz w:val="25"/>
                <w:szCs w:val="25"/>
                <w:highlight w:val="none"/>
                <w:lang w:eastAsia="zh-CN"/>
              </w:rPr>
            </w:pPr>
            <w:r>
              <w:rPr>
                <w:rFonts w:hint="default" w:ascii="Times New Roman" w:hAnsi="Times New Roman" w:cs="Times New Roman"/>
                <w:spacing w:val="18"/>
                <w:sz w:val="25"/>
                <w:szCs w:val="25"/>
                <w:highlight w:val="none"/>
                <w:lang w:eastAsia="zh-CN"/>
              </w:rPr>
              <w:t>（</w:t>
            </w:r>
            <w:r>
              <w:rPr>
                <w:rFonts w:hint="default" w:ascii="Times New Roman" w:hAnsi="Times New Roman" w:eastAsia="宋体" w:cs="Times New Roman"/>
                <w:spacing w:val="18"/>
                <w:sz w:val="25"/>
                <w:szCs w:val="25"/>
                <w:highlight w:val="none"/>
              </w:rPr>
              <w:t>镇</w:t>
            </w:r>
            <w:r>
              <w:rPr>
                <w:rFonts w:hint="default" w:ascii="Times New Roman" w:hAnsi="Times New Roman" w:cs="Times New Roman"/>
                <w:spacing w:val="18"/>
                <w:sz w:val="25"/>
                <w:szCs w:val="25"/>
                <w:highlight w:val="none"/>
                <w:lang w:eastAsia="zh-CN"/>
              </w:rPr>
              <w:t>）</w:t>
            </w:r>
          </w:p>
        </w:tc>
        <w:tc>
          <w:tcPr>
            <w:tcW w:w="1069" w:type="dxa"/>
            <w:vAlign w:val="top"/>
          </w:tcPr>
          <w:p>
            <w:pPr>
              <w:spacing w:before="193" w:line="219" w:lineRule="auto"/>
              <w:ind w:left="32"/>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2"/>
                <w:sz w:val="25"/>
                <w:szCs w:val="25"/>
                <w:highlight w:val="none"/>
              </w:rPr>
              <w:t>所在村组</w:t>
            </w:r>
          </w:p>
        </w:tc>
        <w:tc>
          <w:tcPr>
            <w:tcW w:w="1110" w:type="dxa"/>
            <w:vAlign w:val="top"/>
          </w:tcPr>
          <w:p>
            <w:pPr>
              <w:spacing w:before="33" w:line="218" w:lineRule="auto"/>
              <w:ind w:left="292" w:right="184" w:hanging="119"/>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3"/>
                <w:sz w:val="25"/>
                <w:szCs w:val="25"/>
                <w:highlight w:val="none"/>
              </w:rPr>
              <w:t>购机者</w:t>
            </w:r>
            <w:r>
              <w:rPr>
                <w:rFonts w:hint="default" w:ascii="Times New Roman" w:hAnsi="Times New Roman" w:eastAsia="宋体" w:cs="Times New Roman"/>
                <w:sz w:val="25"/>
                <w:szCs w:val="25"/>
                <w:highlight w:val="none"/>
              </w:rPr>
              <w:t xml:space="preserve"> </w:t>
            </w:r>
            <w:r>
              <w:rPr>
                <w:rFonts w:hint="default" w:ascii="Times New Roman" w:hAnsi="Times New Roman" w:eastAsia="宋体" w:cs="Times New Roman"/>
                <w:spacing w:val="16"/>
                <w:sz w:val="25"/>
                <w:szCs w:val="25"/>
                <w:highlight w:val="none"/>
              </w:rPr>
              <w:t>姓名</w:t>
            </w:r>
          </w:p>
        </w:tc>
        <w:tc>
          <w:tcPr>
            <w:tcW w:w="1069" w:type="dxa"/>
            <w:vAlign w:val="top"/>
          </w:tcPr>
          <w:p>
            <w:pPr>
              <w:spacing w:before="193" w:line="219" w:lineRule="auto"/>
              <w:jc w:val="right"/>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6"/>
                <w:sz w:val="25"/>
                <w:szCs w:val="25"/>
                <w:highlight w:val="none"/>
              </w:rPr>
              <w:t>机具品目</w:t>
            </w:r>
          </w:p>
        </w:tc>
        <w:tc>
          <w:tcPr>
            <w:tcW w:w="1099" w:type="dxa"/>
            <w:vAlign w:val="top"/>
          </w:tcPr>
          <w:p>
            <w:pPr>
              <w:spacing w:before="195" w:line="219" w:lineRule="auto"/>
              <w:ind w:left="33"/>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2"/>
                <w:sz w:val="25"/>
                <w:szCs w:val="25"/>
                <w:highlight w:val="none"/>
              </w:rPr>
              <w:t>生产企业</w:t>
            </w:r>
          </w:p>
        </w:tc>
        <w:tc>
          <w:tcPr>
            <w:tcW w:w="1079" w:type="dxa"/>
            <w:vAlign w:val="top"/>
          </w:tcPr>
          <w:p>
            <w:pPr>
              <w:spacing w:before="195" w:line="219" w:lineRule="auto"/>
              <w:ind w:left="35"/>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3"/>
                <w:sz w:val="25"/>
                <w:szCs w:val="25"/>
                <w:highlight w:val="none"/>
              </w:rPr>
              <w:t>产品名称</w:t>
            </w:r>
          </w:p>
        </w:tc>
        <w:tc>
          <w:tcPr>
            <w:tcW w:w="1099" w:type="dxa"/>
            <w:vAlign w:val="top"/>
          </w:tcPr>
          <w:p>
            <w:pPr>
              <w:spacing w:before="193" w:line="219" w:lineRule="auto"/>
              <w:ind w:left="25"/>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3"/>
                <w:sz w:val="25"/>
                <w:szCs w:val="25"/>
                <w:highlight w:val="none"/>
              </w:rPr>
              <w:t>机具型号</w:t>
            </w:r>
          </w:p>
        </w:tc>
        <w:tc>
          <w:tcPr>
            <w:tcW w:w="1079" w:type="dxa"/>
            <w:vAlign w:val="top"/>
          </w:tcPr>
          <w:p>
            <w:pPr>
              <w:spacing w:before="36" w:line="217" w:lineRule="auto"/>
              <w:ind w:left="286" w:right="39" w:hanging="249"/>
              <w:jc w:val="both"/>
              <w:rPr>
                <w:rFonts w:hint="default" w:ascii="Times New Roman" w:hAnsi="Times New Roman" w:eastAsia="宋体" w:cs="Times New Roman"/>
                <w:sz w:val="25"/>
                <w:szCs w:val="25"/>
                <w:highlight w:val="none"/>
                <w:lang w:eastAsia="zh-CN"/>
              </w:rPr>
            </w:pPr>
            <w:r>
              <w:rPr>
                <w:rFonts w:hint="default" w:ascii="Times New Roman" w:hAnsi="Times New Roman" w:eastAsia="宋体" w:cs="Times New Roman"/>
                <w:spacing w:val="-2"/>
                <w:sz w:val="25"/>
                <w:szCs w:val="25"/>
                <w:highlight w:val="none"/>
              </w:rPr>
              <w:t>购买数量</w:t>
            </w:r>
            <w:r>
              <w:rPr>
                <w:rFonts w:hint="default" w:ascii="Times New Roman" w:hAnsi="Times New Roman" w:cs="Times New Roman"/>
                <w:spacing w:val="18"/>
                <w:sz w:val="25"/>
                <w:szCs w:val="25"/>
                <w:highlight w:val="none"/>
                <w:lang w:eastAsia="zh-CN"/>
              </w:rPr>
              <w:t>（</w:t>
            </w:r>
            <w:r>
              <w:rPr>
                <w:rFonts w:hint="default" w:ascii="Times New Roman" w:hAnsi="Times New Roman" w:eastAsia="宋体" w:cs="Times New Roman"/>
                <w:spacing w:val="18"/>
                <w:sz w:val="25"/>
                <w:szCs w:val="25"/>
                <w:highlight w:val="none"/>
              </w:rPr>
              <w:t>台</w:t>
            </w:r>
            <w:r>
              <w:rPr>
                <w:rFonts w:hint="default" w:ascii="Times New Roman" w:hAnsi="Times New Roman" w:cs="Times New Roman"/>
                <w:spacing w:val="18"/>
                <w:sz w:val="25"/>
                <w:szCs w:val="25"/>
                <w:highlight w:val="none"/>
                <w:lang w:eastAsia="zh-CN"/>
              </w:rPr>
              <w:t>）</w:t>
            </w:r>
          </w:p>
        </w:tc>
        <w:tc>
          <w:tcPr>
            <w:tcW w:w="1099" w:type="dxa"/>
            <w:vAlign w:val="top"/>
          </w:tcPr>
          <w:p>
            <w:pPr>
              <w:spacing w:before="196" w:line="220" w:lineRule="auto"/>
              <w:ind w:left="187"/>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5"/>
                <w:sz w:val="25"/>
                <w:szCs w:val="25"/>
                <w:highlight w:val="none"/>
              </w:rPr>
              <w:t>经销商</w:t>
            </w:r>
          </w:p>
        </w:tc>
        <w:tc>
          <w:tcPr>
            <w:tcW w:w="1079" w:type="dxa"/>
            <w:vAlign w:val="top"/>
          </w:tcPr>
          <w:p>
            <w:pPr>
              <w:spacing w:before="25" w:line="221" w:lineRule="auto"/>
              <w:ind w:left="38"/>
              <w:rPr>
                <w:rFonts w:hint="default" w:ascii="Times New Roman" w:hAnsi="Times New Roman" w:eastAsia="宋体" w:cs="Times New Roman"/>
                <w:sz w:val="25"/>
                <w:szCs w:val="25"/>
                <w:highlight w:val="none"/>
                <w:lang w:eastAsia="zh-CN"/>
              </w:rPr>
            </w:pPr>
            <w:r>
              <w:rPr>
                <w:rFonts w:hint="default" w:ascii="Times New Roman" w:hAnsi="Times New Roman" w:eastAsia="宋体" w:cs="Times New Roman"/>
                <w:spacing w:val="-3"/>
                <w:sz w:val="25"/>
                <w:szCs w:val="25"/>
                <w:highlight w:val="none"/>
              </w:rPr>
              <w:t>单台销售</w:t>
            </w:r>
            <w:r>
              <w:rPr>
                <w:rFonts w:hint="default" w:ascii="Times New Roman" w:hAnsi="Times New Roman" w:eastAsia="宋体" w:cs="Times New Roman"/>
                <w:spacing w:val="1"/>
                <w:sz w:val="25"/>
                <w:szCs w:val="25"/>
                <w:highlight w:val="none"/>
              </w:rPr>
              <w:t xml:space="preserve"> </w:t>
            </w:r>
            <w:r>
              <w:rPr>
                <w:rFonts w:hint="default" w:ascii="Times New Roman" w:hAnsi="Times New Roman" w:eastAsia="宋体" w:cs="Times New Roman"/>
                <w:spacing w:val="6"/>
                <w:sz w:val="25"/>
                <w:szCs w:val="25"/>
                <w:highlight w:val="none"/>
              </w:rPr>
              <w:t>价格</w:t>
            </w:r>
            <w:r>
              <w:rPr>
                <w:rFonts w:hint="default" w:ascii="Times New Roman" w:hAnsi="Times New Roman" w:cs="Times New Roman"/>
                <w:spacing w:val="6"/>
                <w:sz w:val="25"/>
                <w:szCs w:val="25"/>
                <w:highlight w:val="none"/>
                <w:lang w:eastAsia="zh-CN"/>
              </w:rPr>
              <w:t>（</w:t>
            </w:r>
            <w:r>
              <w:rPr>
                <w:rFonts w:hint="default" w:ascii="Times New Roman" w:hAnsi="Times New Roman" w:eastAsia="宋体" w:cs="Times New Roman"/>
                <w:spacing w:val="6"/>
                <w:sz w:val="25"/>
                <w:szCs w:val="25"/>
                <w:highlight w:val="none"/>
              </w:rPr>
              <w:t>元</w:t>
            </w:r>
            <w:r>
              <w:rPr>
                <w:rFonts w:hint="default" w:ascii="Times New Roman" w:hAnsi="Times New Roman" w:cs="Times New Roman"/>
                <w:spacing w:val="6"/>
                <w:sz w:val="25"/>
                <w:szCs w:val="25"/>
                <w:highlight w:val="none"/>
                <w:lang w:eastAsia="zh-CN"/>
              </w:rPr>
              <w:t>）</w:t>
            </w:r>
          </w:p>
        </w:tc>
        <w:tc>
          <w:tcPr>
            <w:tcW w:w="1100" w:type="dxa"/>
            <w:vAlign w:val="top"/>
          </w:tcPr>
          <w:p>
            <w:pPr>
              <w:spacing w:before="36" w:line="217" w:lineRule="auto"/>
              <w:ind w:left="79"/>
              <w:rPr>
                <w:rFonts w:hint="default" w:ascii="Times New Roman" w:hAnsi="Times New Roman" w:eastAsia="宋体" w:cs="Times New Roman"/>
                <w:sz w:val="25"/>
                <w:szCs w:val="25"/>
                <w:highlight w:val="none"/>
                <w:lang w:eastAsia="zh-CN"/>
              </w:rPr>
            </w:pPr>
            <w:r>
              <w:rPr>
                <w:rFonts w:hint="default" w:ascii="Times New Roman" w:hAnsi="Times New Roman" w:eastAsia="宋体" w:cs="Times New Roman"/>
                <w:spacing w:val="2"/>
                <w:sz w:val="25"/>
                <w:szCs w:val="25"/>
                <w:highlight w:val="none"/>
              </w:rPr>
              <w:t>单台补贴</w:t>
            </w:r>
            <w:r>
              <w:rPr>
                <w:rFonts w:hint="default" w:ascii="Times New Roman" w:hAnsi="Times New Roman" w:eastAsia="宋体" w:cs="Times New Roman"/>
                <w:spacing w:val="1"/>
                <w:sz w:val="25"/>
                <w:szCs w:val="25"/>
                <w:highlight w:val="none"/>
              </w:rPr>
              <w:t xml:space="preserve"> </w:t>
            </w:r>
            <w:r>
              <w:rPr>
                <w:rFonts w:hint="default" w:ascii="Times New Roman" w:hAnsi="Times New Roman" w:eastAsia="宋体" w:cs="Times New Roman"/>
                <w:spacing w:val="13"/>
                <w:sz w:val="25"/>
                <w:szCs w:val="25"/>
                <w:highlight w:val="none"/>
              </w:rPr>
              <w:t>额</w:t>
            </w:r>
            <w:r>
              <w:rPr>
                <w:rFonts w:hint="default" w:ascii="Times New Roman" w:hAnsi="Times New Roman" w:cs="Times New Roman"/>
                <w:spacing w:val="13"/>
                <w:sz w:val="25"/>
                <w:szCs w:val="25"/>
                <w:highlight w:val="none"/>
                <w:lang w:eastAsia="zh-CN"/>
              </w:rPr>
              <w:t>（</w:t>
            </w:r>
            <w:r>
              <w:rPr>
                <w:rFonts w:hint="default" w:ascii="Times New Roman" w:hAnsi="Times New Roman" w:eastAsia="宋体" w:cs="Times New Roman"/>
                <w:spacing w:val="13"/>
                <w:sz w:val="25"/>
                <w:szCs w:val="25"/>
                <w:highlight w:val="none"/>
              </w:rPr>
              <w:t>元</w:t>
            </w:r>
            <w:r>
              <w:rPr>
                <w:rFonts w:hint="default" w:ascii="Times New Roman" w:hAnsi="Times New Roman" w:cs="Times New Roman"/>
                <w:spacing w:val="13"/>
                <w:sz w:val="25"/>
                <w:szCs w:val="25"/>
                <w:highlight w:val="none"/>
                <w:lang w:eastAsia="zh-CN"/>
              </w:rPr>
              <w:t>）</w:t>
            </w:r>
          </w:p>
        </w:tc>
        <w:tc>
          <w:tcPr>
            <w:tcW w:w="1075" w:type="dxa"/>
            <w:vAlign w:val="top"/>
          </w:tcPr>
          <w:p>
            <w:pPr>
              <w:spacing w:before="36" w:line="217" w:lineRule="auto"/>
              <w:ind w:left="279" w:right="25" w:hanging="249"/>
              <w:rPr>
                <w:rFonts w:hint="default" w:ascii="Times New Roman" w:hAnsi="Times New Roman" w:eastAsia="宋体" w:cs="Times New Roman"/>
                <w:sz w:val="25"/>
                <w:szCs w:val="25"/>
                <w:highlight w:val="none"/>
                <w:lang w:eastAsia="zh-CN"/>
              </w:rPr>
            </w:pPr>
            <w:r>
              <w:rPr>
                <w:rFonts w:hint="default" w:ascii="Times New Roman" w:hAnsi="Times New Roman" w:eastAsia="宋体" w:cs="Times New Roman"/>
                <w:spacing w:val="2"/>
                <w:sz w:val="25"/>
                <w:szCs w:val="25"/>
                <w:highlight w:val="none"/>
              </w:rPr>
              <w:t>总补贴额</w:t>
            </w:r>
            <w:r>
              <w:rPr>
                <w:rFonts w:hint="default" w:ascii="Times New Roman" w:hAnsi="Times New Roman" w:eastAsia="宋体" w:cs="Times New Roman"/>
                <w:sz w:val="25"/>
                <w:szCs w:val="25"/>
                <w:highlight w:val="none"/>
              </w:rPr>
              <w:t xml:space="preserve"> </w:t>
            </w:r>
            <w:r>
              <w:rPr>
                <w:rFonts w:hint="default" w:ascii="Times New Roman" w:hAnsi="Times New Roman" w:cs="Times New Roman"/>
                <w:spacing w:val="18"/>
                <w:sz w:val="25"/>
                <w:szCs w:val="25"/>
                <w:highlight w:val="none"/>
                <w:lang w:eastAsia="zh-CN"/>
              </w:rPr>
              <w:t>（</w:t>
            </w:r>
            <w:r>
              <w:rPr>
                <w:rFonts w:hint="default" w:ascii="Times New Roman" w:hAnsi="Times New Roman" w:eastAsia="宋体" w:cs="Times New Roman"/>
                <w:spacing w:val="18"/>
                <w:sz w:val="25"/>
                <w:szCs w:val="25"/>
                <w:highlight w:val="none"/>
              </w:rPr>
              <w:t>元</w:t>
            </w:r>
            <w:r>
              <w:rPr>
                <w:rFonts w:hint="default" w:ascii="Times New Roman" w:hAnsi="Times New Roman" w:cs="Times New Roman"/>
                <w:spacing w:val="18"/>
                <w:sz w:val="25"/>
                <w:szCs w:val="25"/>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64"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64" w:type="dxa"/>
            <w:vAlign w:val="top"/>
          </w:tcPr>
          <w:p>
            <w:pPr>
              <w:spacing w:before="250" w:line="221" w:lineRule="auto"/>
              <w:ind w:left="275"/>
              <w:rPr>
                <w:rFonts w:hint="default" w:ascii="Times New Roman" w:hAnsi="Times New Roman" w:eastAsia="宋体" w:cs="Times New Roman"/>
                <w:sz w:val="25"/>
                <w:szCs w:val="25"/>
                <w:highlight w:val="none"/>
              </w:rPr>
            </w:pPr>
            <w:r>
              <w:rPr>
                <w:rFonts w:hint="default" w:ascii="Times New Roman" w:hAnsi="Times New Roman" w:eastAsia="宋体" w:cs="Times New Roman"/>
                <w:spacing w:val="5"/>
                <w:sz w:val="25"/>
                <w:szCs w:val="25"/>
                <w:highlight w:val="none"/>
              </w:rPr>
              <w:t>合计</w:t>
            </w:r>
          </w:p>
        </w:tc>
        <w:tc>
          <w:tcPr>
            <w:tcW w:w="1079"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110" w:type="dxa"/>
            <w:vAlign w:val="top"/>
          </w:tcPr>
          <w:p>
            <w:pPr>
              <w:pStyle w:val="10"/>
              <w:rPr>
                <w:rFonts w:hint="default" w:ascii="Times New Roman" w:hAnsi="Times New Roman" w:cs="Times New Roman"/>
                <w:highlight w:val="none"/>
              </w:rPr>
            </w:pPr>
          </w:p>
        </w:tc>
        <w:tc>
          <w:tcPr>
            <w:tcW w:w="106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099" w:type="dxa"/>
            <w:vAlign w:val="top"/>
          </w:tcPr>
          <w:p>
            <w:pPr>
              <w:pStyle w:val="10"/>
              <w:rPr>
                <w:rFonts w:hint="default" w:ascii="Times New Roman" w:hAnsi="Times New Roman" w:cs="Times New Roman"/>
                <w:highlight w:val="none"/>
              </w:rPr>
            </w:pPr>
          </w:p>
        </w:tc>
        <w:tc>
          <w:tcPr>
            <w:tcW w:w="1079" w:type="dxa"/>
            <w:vAlign w:val="top"/>
          </w:tcPr>
          <w:p>
            <w:pPr>
              <w:pStyle w:val="10"/>
              <w:rPr>
                <w:rFonts w:hint="default" w:ascii="Times New Roman" w:hAnsi="Times New Roman" w:cs="Times New Roman"/>
                <w:highlight w:val="none"/>
              </w:rPr>
            </w:pPr>
          </w:p>
        </w:tc>
        <w:tc>
          <w:tcPr>
            <w:tcW w:w="1100" w:type="dxa"/>
            <w:vAlign w:val="top"/>
          </w:tcPr>
          <w:p>
            <w:pPr>
              <w:pStyle w:val="10"/>
              <w:rPr>
                <w:rFonts w:hint="default" w:ascii="Times New Roman" w:hAnsi="Times New Roman" w:cs="Times New Roman"/>
                <w:highlight w:val="none"/>
              </w:rPr>
            </w:pPr>
          </w:p>
        </w:tc>
        <w:tc>
          <w:tcPr>
            <w:tcW w:w="1075" w:type="dxa"/>
            <w:vAlign w:val="top"/>
          </w:tcPr>
          <w:p>
            <w:pPr>
              <w:pStyle w:val="10"/>
              <w:rPr>
                <w:rFonts w:hint="default" w:ascii="Times New Roman" w:hAnsi="Times New Roman" w:cs="Times New Roman"/>
                <w:highlight w:val="none"/>
              </w:rPr>
            </w:pPr>
          </w:p>
        </w:tc>
      </w:tr>
    </w:tbl>
    <w:p>
      <w:pPr>
        <w:rPr>
          <w:rFonts w:hint="default" w:ascii="Times New Roman" w:hAnsi="Times New Roman" w:eastAsia="Arial" w:cs="Times New Roman"/>
          <w:sz w:val="21"/>
          <w:szCs w:val="21"/>
          <w:highlight w:val="none"/>
        </w:rPr>
        <w:sectPr>
          <w:pgSz w:w="16820" w:h="11900"/>
          <w:pgMar w:top="1011" w:right="1214" w:bottom="400" w:left="1495" w:header="0" w:footer="0" w:gutter="0"/>
          <w:pgNumType w:fmt="decimal"/>
          <w:cols w:space="720" w:num="1"/>
        </w:sectPr>
      </w:pPr>
    </w:p>
    <w:p>
      <w:pPr>
        <w:bidi w:val="0"/>
        <w:jc w:val="left"/>
        <w:rPr>
          <w:rFonts w:hint="default" w:ascii="Times New Roman" w:hAnsi="Times New Roman" w:cs="Times New Roman"/>
          <w:highlight w:val="none"/>
          <w:lang w:val="en-US" w:eastAsia="zh-CN"/>
        </w:rPr>
      </w:pPr>
    </w:p>
    <w:sectPr>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5DEA"/>
    <w:multiLevelType w:val="multilevel"/>
    <w:tmpl w:val="ABF45DEA"/>
    <w:lvl w:ilvl="0" w:tentative="0">
      <w:start w:val="9"/>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AC97C19D"/>
    <w:multiLevelType w:val="singleLevel"/>
    <w:tmpl w:val="AC97C19D"/>
    <w:lvl w:ilvl="0" w:tentative="0">
      <w:start w:val="19"/>
      <w:numFmt w:val="decimal"/>
      <w:lvlText w:val="%1."/>
      <w:lvlJc w:val="left"/>
      <w:pPr>
        <w:tabs>
          <w:tab w:val="left" w:pos="312"/>
        </w:tabs>
      </w:pPr>
    </w:lvl>
  </w:abstractNum>
  <w:abstractNum w:abstractNumId="2">
    <w:nsid w:val="09BA3710"/>
    <w:multiLevelType w:val="singleLevel"/>
    <w:tmpl w:val="09BA3710"/>
    <w:lvl w:ilvl="0" w:tentative="0">
      <w:start w:val="14"/>
      <w:numFmt w:val="decimal"/>
      <w:lvlText w:val="%1."/>
      <w:lvlJc w:val="left"/>
      <w:pPr>
        <w:tabs>
          <w:tab w:val="left" w:pos="312"/>
        </w:tabs>
      </w:pPr>
    </w:lvl>
  </w:abstractNum>
  <w:abstractNum w:abstractNumId="3">
    <w:nsid w:val="18506E32"/>
    <w:multiLevelType w:val="singleLevel"/>
    <w:tmpl w:val="18506E32"/>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2U1OTI0ZGY3ZWNkMzRkY2NmNDI0NjFhMzQ3NzEifQ=="/>
  </w:docVars>
  <w:rsids>
    <w:rsidRoot w:val="04C2132C"/>
    <w:rsid w:val="02B427CD"/>
    <w:rsid w:val="03755510"/>
    <w:rsid w:val="04C2132C"/>
    <w:rsid w:val="06C851B6"/>
    <w:rsid w:val="0914264F"/>
    <w:rsid w:val="09187B5E"/>
    <w:rsid w:val="09E10AEF"/>
    <w:rsid w:val="0ADE42D0"/>
    <w:rsid w:val="0B47141C"/>
    <w:rsid w:val="0C10500B"/>
    <w:rsid w:val="0C626965"/>
    <w:rsid w:val="15D55790"/>
    <w:rsid w:val="17081838"/>
    <w:rsid w:val="17D75DFD"/>
    <w:rsid w:val="19A741AC"/>
    <w:rsid w:val="1AD35996"/>
    <w:rsid w:val="1DCD2970"/>
    <w:rsid w:val="207C32CC"/>
    <w:rsid w:val="20C34929"/>
    <w:rsid w:val="22D70AB4"/>
    <w:rsid w:val="2707556C"/>
    <w:rsid w:val="28C443C8"/>
    <w:rsid w:val="2D9533C5"/>
    <w:rsid w:val="2F191812"/>
    <w:rsid w:val="31F12C79"/>
    <w:rsid w:val="330E280A"/>
    <w:rsid w:val="356D6ABA"/>
    <w:rsid w:val="371772FD"/>
    <w:rsid w:val="375E2A17"/>
    <w:rsid w:val="3B6A292E"/>
    <w:rsid w:val="3BDE6873"/>
    <w:rsid w:val="3C1E1744"/>
    <w:rsid w:val="3F8E5FAB"/>
    <w:rsid w:val="400A767E"/>
    <w:rsid w:val="40264418"/>
    <w:rsid w:val="40540152"/>
    <w:rsid w:val="423E0FC8"/>
    <w:rsid w:val="42977757"/>
    <w:rsid w:val="42AF0416"/>
    <w:rsid w:val="463D4287"/>
    <w:rsid w:val="48903ADE"/>
    <w:rsid w:val="48D013E2"/>
    <w:rsid w:val="49706C59"/>
    <w:rsid w:val="4ADC53EB"/>
    <w:rsid w:val="4FEF1760"/>
    <w:rsid w:val="4FF31C3A"/>
    <w:rsid w:val="51E9516C"/>
    <w:rsid w:val="53173C42"/>
    <w:rsid w:val="583F5042"/>
    <w:rsid w:val="5AC66561"/>
    <w:rsid w:val="5B5977CC"/>
    <w:rsid w:val="5B8C3B8D"/>
    <w:rsid w:val="5B982953"/>
    <w:rsid w:val="5D3E1679"/>
    <w:rsid w:val="61642270"/>
    <w:rsid w:val="637E6D88"/>
    <w:rsid w:val="641F230D"/>
    <w:rsid w:val="64F2290B"/>
    <w:rsid w:val="655600FF"/>
    <w:rsid w:val="656E7B61"/>
    <w:rsid w:val="668E544C"/>
    <w:rsid w:val="67B20201"/>
    <w:rsid w:val="6C7B475A"/>
    <w:rsid w:val="6C967865"/>
    <w:rsid w:val="6DE24E01"/>
    <w:rsid w:val="70E84C6C"/>
    <w:rsid w:val="74A00B9F"/>
    <w:rsid w:val="74B16692"/>
    <w:rsid w:val="74E64B62"/>
    <w:rsid w:val="75C65A24"/>
    <w:rsid w:val="766E6838"/>
    <w:rsid w:val="76AA1C2C"/>
    <w:rsid w:val="7A6265F0"/>
    <w:rsid w:val="7A7D4063"/>
    <w:rsid w:val="7B60723C"/>
    <w:rsid w:val="7CF62D91"/>
    <w:rsid w:val="7E61605D"/>
    <w:rsid w:val="7F9B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spacing w:line="300" w:lineRule="auto"/>
      <w:ind w:firstLine="556"/>
    </w:pPr>
    <w:rPr>
      <w:rFonts w:ascii="??_GB2312" w:eastAsia="Times New Roman" w:cs="??_GB2312"/>
      <w:kern w:val="0"/>
    </w:rPr>
  </w:style>
  <w:style w:type="paragraph" w:styleId="3">
    <w:name w:val="Body Text"/>
    <w:basedOn w:val="1"/>
    <w:semiHidden/>
    <w:qFormat/>
    <w:uiPriority w:val="0"/>
    <w:rPr>
      <w:rFonts w:ascii="宋体" w:hAnsi="宋体" w:eastAsia="宋体" w:cs="宋体"/>
      <w:sz w:val="55"/>
      <w:szCs w:val="5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Hyperlink"/>
    <w:basedOn w:val="8"/>
    <w:qFormat/>
    <w:uiPriority w:val="0"/>
    <w:rPr>
      <w:color w:val="0000CC"/>
      <w:u w:val="single"/>
    </w:r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9789</Words>
  <Characters>10829</Characters>
  <Lines>0</Lines>
  <Paragraphs>0</Paragraphs>
  <TotalTime>1</TotalTime>
  <ScaleCrop>false</ScaleCrop>
  <LinksUpToDate>false</LinksUpToDate>
  <CharactersWithSpaces>11193</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2024-11-19T07:03:00Z</dcterms:created>
  <dc:creator>Administrator</dc:creator>
  <cp:lastModifiedBy>蒋夏祎</cp:lastModifiedBy>
  <cp:lastPrinted>2024-12-11T02:29:00Z</cp:lastPrinted>
  <dcterms:modified xsi:type="dcterms:W3CDTF">2025-09-22T07:10:33Z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1007752AABC548DE8C07FFD16A7E7D4C_13</vt:lpwstr>
  </property>
</Properties>
</file>