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firstLine="880" w:firstLineChars="200"/>
        <w:jc w:val="center"/>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盈江县弄璋镇人民政府</w:t>
      </w:r>
    </w:p>
    <w:p>
      <w:pPr>
        <w:keepNext w:val="0"/>
        <w:keepLines w:val="0"/>
        <w:pageBreakBefore w:val="0"/>
        <w:kinsoku/>
        <w:wordWrap/>
        <w:overflowPunct/>
        <w:topLinePunct w:val="0"/>
        <w:autoSpaceDE/>
        <w:autoSpaceDN/>
        <w:bidi w:val="0"/>
        <w:spacing w:line="560" w:lineRule="exact"/>
        <w:ind w:firstLine="880" w:firstLineChars="200"/>
        <w:jc w:val="center"/>
        <w:rPr>
          <w:rFonts w:ascii="黑体" w:hAnsi="黑体" w:eastAsia="黑体"/>
          <w:color w:val="7030A0"/>
          <w:sz w:val="36"/>
          <w:szCs w:val="36"/>
        </w:rPr>
      </w:pPr>
      <w:r>
        <w:rPr>
          <w:rFonts w:hint="eastAsia" w:ascii="方正小标宋_GBK" w:hAnsi="方正小标宋_GBK" w:eastAsia="方正小标宋_GBK" w:cs="方正小标宋_GBK"/>
          <w:sz w:val="44"/>
          <w:szCs w:val="44"/>
        </w:rPr>
        <w:t>2017年度部门决算</w:t>
      </w:r>
    </w:p>
    <w:bookmarkEnd w:id="0"/>
    <w:p>
      <w:pPr>
        <w:keepNext w:val="0"/>
        <w:keepLines w:val="0"/>
        <w:pageBreakBefore w:val="0"/>
        <w:kinsoku/>
        <w:wordWrap/>
        <w:overflowPunct/>
        <w:topLinePunct w:val="0"/>
        <w:autoSpaceDE/>
        <w:autoSpaceDN/>
        <w:bidi w:val="0"/>
        <w:spacing w:line="560" w:lineRule="exact"/>
        <w:ind w:firstLine="600" w:firstLineChars="200"/>
        <w:jc w:val="left"/>
        <w:rPr>
          <w:rFonts w:ascii="黑体" w:hAnsi="黑体" w:eastAsia="黑体"/>
          <w:sz w:val="30"/>
          <w:szCs w:val="30"/>
        </w:rPr>
      </w:pPr>
    </w:p>
    <w:p>
      <w:pPr>
        <w:keepNext w:val="0"/>
        <w:keepLines w:val="0"/>
        <w:pageBreakBefore w:val="0"/>
        <w:kinsoku/>
        <w:wordWrap/>
        <w:overflowPunct/>
        <w:topLinePunct w:val="0"/>
        <w:autoSpaceDE/>
        <w:autoSpaceDN/>
        <w:bidi w:val="0"/>
        <w:spacing w:line="560" w:lineRule="exact"/>
        <w:ind w:firstLine="600" w:firstLineChars="200"/>
        <w:jc w:val="left"/>
        <w:rPr>
          <w:rFonts w:ascii="黑体" w:hAnsi="黑体" w:eastAsia="黑体"/>
          <w:sz w:val="30"/>
          <w:szCs w:val="30"/>
        </w:rPr>
      </w:pPr>
      <w:r>
        <w:rPr>
          <w:rFonts w:hint="eastAsia" w:ascii="黑体" w:hAnsi="黑体" w:eastAsia="黑体"/>
          <w:sz w:val="30"/>
          <w:szCs w:val="30"/>
        </w:rPr>
        <w:t>第一部分 盈江县弄璋镇人民政府概况</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一、主要职能</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二、部门基本情况</w:t>
      </w:r>
    </w:p>
    <w:p>
      <w:pPr>
        <w:keepNext w:val="0"/>
        <w:keepLines w:val="0"/>
        <w:pageBreakBefore w:val="0"/>
        <w:kinsoku/>
        <w:wordWrap/>
        <w:overflowPunct/>
        <w:topLinePunct w:val="0"/>
        <w:autoSpaceDE/>
        <w:autoSpaceDN/>
        <w:bidi w:val="0"/>
        <w:spacing w:line="560" w:lineRule="exact"/>
        <w:ind w:firstLine="600" w:firstLineChars="200"/>
        <w:jc w:val="left"/>
        <w:rPr>
          <w:rFonts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color w:val="7030A0"/>
          <w:sz w:val="30"/>
          <w:szCs w:val="30"/>
        </w:rPr>
        <w:t xml:space="preserve"> </w:t>
      </w:r>
      <w:r>
        <w:rPr>
          <w:rFonts w:hint="eastAsia" w:ascii="黑体" w:hAnsi="黑体" w:eastAsia="黑体"/>
          <w:sz w:val="30"/>
          <w:szCs w:val="30"/>
        </w:rPr>
        <w:t>2017年度部门决算表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一、收入支出决算总表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二、收入决算表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三、支出决算表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四、财政拨款收入支出决算总表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五、一般公共预算财政拨款收入支出决算表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六、一般公共预算财政拨款基本支出决算表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七、政府性基金预算财政拨款收入支出决算表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八、财政专户管理资金收入支出决算表</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九、“三公”经费、行政参公单位机关运行经费情况表</w:t>
      </w:r>
    </w:p>
    <w:p>
      <w:pPr>
        <w:keepNext w:val="0"/>
        <w:keepLines w:val="0"/>
        <w:pageBreakBefore w:val="0"/>
        <w:kinsoku/>
        <w:wordWrap/>
        <w:overflowPunct/>
        <w:topLinePunct w:val="0"/>
        <w:autoSpaceDE/>
        <w:autoSpaceDN/>
        <w:bidi w:val="0"/>
        <w:spacing w:line="560" w:lineRule="exact"/>
        <w:ind w:firstLine="600" w:firstLineChars="200"/>
        <w:jc w:val="left"/>
        <w:rPr>
          <w:rFonts w:ascii="黑体" w:hAnsi="黑体" w:eastAsia="黑体"/>
          <w:sz w:val="30"/>
          <w:szCs w:val="30"/>
        </w:rPr>
      </w:pPr>
      <w:r>
        <w:rPr>
          <w:rFonts w:hint="eastAsia" w:ascii="黑体" w:hAnsi="黑体" w:eastAsia="黑体"/>
          <w:sz w:val="30"/>
          <w:szCs w:val="30"/>
        </w:rPr>
        <w:t>第三部分 2017年度部门决算情况说明</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一、收入决算情况说明</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二、支出决算情况说明</w:t>
      </w:r>
    </w:p>
    <w:p>
      <w:pPr>
        <w:keepNext w:val="0"/>
        <w:keepLines w:val="0"/>
        <w:pageBreakBefore w:val="0"/>
        <w:kinsoku/>
        <w:wordWrap/>
        <w:overflowPunct/>
        <w:topLinePunct w:val="0"/>
        <w:autoSpaceDE/>
        <w:autoSpaceDN/>
        <w:bidi w:val="0"/>
        <w:spacing w:line="560" w:lineRule="exact"/>
        <w:ind w:firstLine="600" w:firstLineChars="200"/>
        <w:jc w:val="left"/>
        <w:rPr>
          <w:rFonts w:ascii="楷体" w:hAnsi="楷体" w:eastAsia="楷体"/>
          <w:sz w:val="30"/>
          <w:szCs w:val="30"/>
        </w:rPr>
      </w:pPr>
      <w:r>
        <w:rPr>
          <w:rFonts w:hint="eastAsia" w:ascii="楷体" w:hAnsi="楷体" w:eastAsia="楷体"/>
          <w:sz w:val="30"/>
          <w:szCs w:val="30"/>
        </w:rPr>
        <w:t>三、一般公共预算财政拨款支出决算情况说明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楷体" w:hAnsi="楷体" w:eastAsia="楷体"/>
          <w:sz w:val="30"/>
          <w:szCs w:val="30"/>
        </w:rPr>
      </w:pPr>
      <w:r>
        <w:rPr>
          <w:rFonts w:hint="eastAsia" w:ascii="楷体" w:hAnsi="楷体" w:eastAsia="楷体"/>
          <w:sz w:val="30"/>
          <w:szCs w:val="30"/>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楷体" w:hAnsi="楷体" w:eastAsia="楷体"/>
          <w:sz w:val="30"/>
          <w:szCs w:val="30"/>
        </w:rPr>
      </w:pPr>
      <w:r>
        <w:rPr>
          <w:rFonts w:hint="eastAsia" w:ascii="楷体" w:hAnsi="楷体" w:eastAsia="楷体"/>
          <w:sz w:val="30"/>
          <w:szCs w:val="30"/>
        </w:rPr>
        <w:t>五、其他重要事项及相关口径情况说明</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黑体" w:hAnsi="黑体" w:eastAsia="黑体"/>
          <w:sz w:val="30"/>
          <w:szCs w:val="30"/>
        </w:rPr>
      </w:pPr>
      <w:r>
        <w:rPr>
          <w:rFonts w:hint="eastAsia" w:ascii="黑体" w:hAnsi="黑体" w:eastAsia="黑体"/>
          <w:sz w:val="30"/>
          <w:szCs w:val="30"/>
        </w:rPr>
        <w:t>第四部分  名词解释</w:t>
      </w:r>
    </w:p>
    <w:p>
      <w:pPr>
        <w:keepNext w:val="0"/>
        <w:keepLines w:val="0"/>
        <w:pageBreakBefore w:val="0"/>
        <w:kinsoku/>
        <w:wordWrap/>
        <w:overflowPunct/>
        <w:topLinePunct w:val="0"/>
        <w:autoSpaceDE/>
        <w:autoSpaceDN/>
        <w:bidi w:val="0"/>
        <w:spacing w:line="560" w:lineRule="exact"/>
        <w:ind w:firstLine="600" w:firstLineChars="200"/>
        <w:jc w:val="left"/>
        <w:rPr>
          <w:rFonts w:ascii="黑体" w:hAnsi="黑体" w:eastAsia="黑体"/>
          <w:sz w:val="30"/>
          <w:szCs w:val="30"/>
        </w:rPr>
      </w:pPr>
    </w:p>
    <w:p>
      <w:pPr>
        <w:keepNext w:val="0"/>
        <w:keepLines w:val="0"/>
        <w:pageBreakBefore w:val="0"/>
        <w:kinsoku/>
        <w:wordWrap/>
        <w:overflowPunct/>
        <w:topLinePunct w:val="0"/>
        <w:autoSpaceDE/>
        <w:autoSpaceDN/>
        <w:bidi w:val="0"/>
        <w:spacing w:line="560" w:lineRule="exact"/>
        <w:ind w:firstLine="600" w:firstLineChars="200"/>
        <w:jc w:val="center"/>
        <w:rPr>
          <w:rFonts w:ascii="黑体" w:hAnsi="黑体" w:eastAsia="黑体"/>
          <w:sz w:val="30"/>
          <w:szCs w:val="30"/>
        </w:rPr>
      </w:pPr>
      <w:r>
        <w:rPr>
          <w:rFonts w:hint="eastAsia" w:ascii="黑体" w:hAnsi="黑体" w:eastAsia="黑体"/>
          <w:sz w:val="30"/>
          <w:szCs w:val="30"/>
        </w:rPr>
        <w:t>第一部分盈江县弄璋镇人民政府概况</w:t>
      </w:r>
    </w:p>
    <w:p>
      <w:pPr>
        <w:keepNext w:val="0"/>
        <w:keepLines w:val="0"/>
        <w:pageBreakBefore w:val="0"/>
        <w:kinsoku/>
        <w:wordWrap/>
        <w:overflowPunct/>
        <w:topLinePunct w:val="0"/>
        <w:autoSpaceDE/>
        <w:autoSpaceDN/>
        <w:bidi w:val="0"/>
        <w:spacing w:line="560" w:lineRule="exact"/>
        <w:ind w:firstLine="600" w:firstLineChars="200"/>
        <w:rPr>
          <w:rFonts w:ascii="黑体" w:hAnsi="黑体" w:eastAsia="黑体"/>
          <w:sz w:val="30"/>
          <w:szCs w:val="30"/>
        </w:rPr>
      </w:pPr>
      <w:r>
        <w:rPr>
          <w:rFonts w:hint="eastAsia" w:ascii="黑体" w:hAnsi="黑体" w:eastAsia="黑体"/>
          <w:sz w:val="30"/>
          <w:szCs w:val="30"/>
        </w:rPr>
        <w:t>一、主要职能</w:t>
      </w:r>
    </w:p>
    <w:p>
      <w:pPr>
        <w:keepNext w:val="0"/>
        <w:keepLines w:val="0"/>
        <w:pageBreakBefore w:val="0"/>
        <w:kinsoku/>
        <w:wordWrap/>
        <w:overflowPunct/>
        <w:topLinePunct w:val="0"/>
        <w:autoSpaceDE/>
        <w:autoSpaceDN/>
        <w:bidi w:val="0"/>
        <w:spacing w:line="560" w:lineRule="exact"/>
        <w:ind w:firstLine="600" w:firstLineChars="200"/>
        <w:rPr>
          <w:rFonts w:ascii="黑体" w:hAnsi="黑体" w:eastAsia="黑体"/>
          <w:sz w:val="30"/>
          <w:szCs w:val="30"/>
        </w:rPr>
      </w:pPr>
      <w:r>
        <w:rPr>
          <w:rFonts w:hint="eastAsia" w:ascii="仿宋_GB2312" w:hAnsi="宋体" w:eastAsia="仿宋_GB2312" w:cs="Arial"/>
          <w:kern w:val="0"/>
          <w:sz w:val="30"/>
          <w:szCs w:val="30"/>
        </w:rPr>
        <w:t>（一）</w:t>
      </w:r>
      <w:r>
        <w:rPr>
          <w:rFonts w:hint="eastAsia" w:ascii="仿宋" w:hAnsi="仿宋" w:eastAsia="仿宋"/>
          <w:sz w:val="30"/>
          <w:szCs w:val="30"/>
        </w:rPr>
        <w:t>主要职能</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根据《中国共产党农村基层组织工作条例》、《云南省乡镇人民代表大会主席团工作条例》及《中华人民共和国地方各级人民代表大会和地方各级人民政府组织法》等规定，弄璋镇党委、人大、政府的主要职责分别是：</w:t>
      </w:r>
    </w:p>
    <w:p>
      <w:pPr>
        <w:keepNext w:val="0"/>
        <w:keepLines w:val="0"/>
        <w:pageBreakBefore w:val="0"/>
        <w:kinsoku/>
        <w:wordWrap/>
        <w:overflowPunct/>
        <w:topLinePunct w:val="0"/>
        <w:autoSpaceDE/>
        <w:autoSpaceDN/>
        <w:bidi w:val="0"/>
        <w:spacing w:line="560" w:lineRule="exact"/>
        <w:ind w:firstLine="602" w:firstLineChars="200"/>
        <w:rPr>
          <w:rFonts w:ascii="仿宋_GB2312" w:hAnsi="Calibri" w:eastAsia="仿宋_GB2312" w:cs="Times New Roman"/>
          <w:b/>
          <w:color w:val="000000"/>
          <w:sz w:val="32"/>
          <w:szCs w:val="32"/>
        </w:rPr>
      </w:pPr>
      <w:r>
        <w:rPr>
          <w:rFonts w:hint="eastAsia" w:ascii="仿宋_GB2312" w:hAnsi="Calibri" w:eastAsia="仿宋_GB2312" w:cs="Times New Roman"/>
          <w:b/>
          <w:color w:val="000000"/>
          <w:sz w:val="30"/>
          <w:szCs w:val="30"/>
        </w:rPr>
        <w:t>1、弄璋镇党委的主要职责</w:t>
      </w:r>
      <w:r>
        <w:rPr>
          <w:rFonts w:hint="eastAsia" w:ascii="仿宋_GB2312" w:hAnsi="Calibri" w:eastAsia="仿宋_GB2312" w:cs="Times New Roman"/>
          <w:b/>
          <w:color w:val="000000"/>
          <w:sz w:val="32"/>
          <w:szCs w:val="32"/>
        </w:rPr>
        <w:t>：</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⑴贯彻执行党的路线、方针、政策和上级党组织及本镇党员代表大会的决议，组织全镇干部群众认真学习马列主义、毛泽东思想、邓小平理论、江泽民同志“三个代表”重要思想和科学发展观理论、党的基本知识。</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⑵根据党委在各个历史时期中心任务，加强农村政权建设、基层组织建设和党风廉政建设。抓好两个文明建设，深入开展政治思想工作。</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⑶制定全镇社会经济发展规划，对经济建设等重大问题作出方向性的决定。团结、组织和带领全镇党内外干部群众，努力完成本镇所担负的任务。</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⑷抓好全镇党员干部的培训、管理和发展工作，教育广大党员认真履行义务、遵纪守法，充分发挥基层党组织的战斗堡垒作用和党员的先锋模范作用。</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⑸领导纪检、武装、共青团、妇联、工会组织认真开展工作，做好人大、政府、纪委、政协、组织、宣传工作。</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⑹研究决定全镇政治、经济、文化和社会发展中的重大事宜。</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⑺完成上级党委政府赋予的其它工作任务。</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2、弄璋镇人大主席团的主要职责：</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⑴检查、督促宪法、法律、法规及镇人民代表大会和上级人民代表大会及其常务委员会的决议、决定在全镇行政区域的贯彻执行。</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⑵听取和审议镇政府的经济、教育、科学、文化、卫生、民政、民族、社会治安等工作情况的汇报，监督镇政府的工作。</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⑶对镇的重大事项、乡政府的经济、文化、公共事业和财政预算的年度计划提出建议和提请镇人民代表大会审议决定。</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⑷检查、督促镇政府及有关单位办理镇人民代表大会代表提出的议案、建议、批评和意见。</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⑸组织各级人民代表对全镇国家机关和有关单位的工作进行评议和视察。</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⑹联系镇人大代表和接受上级人大常委会的委托，联系本镇内的上级人大代表，组织代表小组开展活动。</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⑺受理人民群众对镇国家机关和工作人员的申诉和意见。</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⑻监督检查政务、村务、财务公开制度实行情况。</w:t>
      </w:r>
      <w:r>
        <w:rPr>
          <w:rFonts w:ascii="仿宋_GB2312" w:hAnsi="宋体" w:eastAsia="仿宋_GB2312" w:cs="Arial"/>
          <w:kern w:val="0"/>
          <w:sz w:val="30"/>
          <w:szCs w:val="30"/>
        </w:rPr>
        <w:t> </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⑼受理镇人大代表的辞职，并报本级人民代表大会备案，</w:t>
      </w:r>
      <w:r>
        <w:rPr>
          <w:rFonts w:ascii="仿宋_GB2312" w:hAnsi="宋体" w:eastAsia="仿宋_GB2312" w:cs="Arial"/>
          <w:kern w:val="0"/>
          <w:sz w:val="30"/>
          <w:szCs w:val="30"/>
        </w:rPr>
        <w:t> </w:t>
      </w:r>
      <w:r>
        <w:rPr>
          <w:rFonts w:hint="eastAsia" w:ascii="仿宋_GB2312" w:hAnsi="宋体" w:eastAsia="仿宋_GB2312" w:cs="Arial"/>
          <w:kern w:val="0"/>
          <w:sz w:val="30"/>
          <w:szCs w:val="30"/>
        </w:rPr>
        <w:t>主持各级人大代表的选举产生工作。</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⑽决定召集本届人民代表大会会议和下届人代会第一次会议，受理镇人大主席团成员、镇长、副镇长的辞职，并报镇人民代表大会备案。</w:t>
      </w:r>
    </w:p>
    <w:p>
      <w:pPr>
        <w:keepNext w:val="0"/>
        <w:keepLines w:val="0"/>
        <w:pageBreakBefore w:val="0"/>
        <w:widowControl/>
        <w:kinsoku/>
        <w:wordWrap/>
        <w:overflowPunct/>
        <w:topLinePunct w:val="0"/>
        <w:autoSpaceDE/>
        <w:autoSpaceDN/>
        <w:bidi w:val="0"/>
        <w:spacing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⑾办理镇人民代表大会和上级人大常委会交付的其它各项工作。</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3、弄璋镇人民政府的主要职责:</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⑴贯彻执行党和国家的路线、方针、政策和法律法规。</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⑵在镇党委的领导、镇人大的监督下，制定并执行本级人民代表大会的决议和上级国家行政机关的决定和命令，执行本行政区内的经济和社会发展计划、规划，按期组织实施。管理本行政区域内的经济、教育、科学、文化、卫生、体育和财政、民政、公安、司法、计划生育、土地城建等行政工作。</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⑶保护社会主义的全民所有财产和劳动群众集体所有财产，保护公民私人所有的合法财产，维护社会秩序，保障公民的人身权利、民主权利和其它权利，保护各种经济的合法权益。</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⑷切实推行政务、财务公开，使政务、财务公开走入法制化轨道。</w:t>
      </w:r>
    </w:p>
    <w:p>
      <w:pPr>
        <w:pStyle w:val="9"/>
        <w:keepNext w:val="0"/>
        <w:keepLines w:val="0"/>
        <w:pageBreakBefore w:val="0"/>
        <w:kinsoku/>
        <w:wordWrap/>
        <w:overflowPunct/>
        <w:topLinePunct w:val="0"/>
        <w:autoSpaceDE/>
        <w:autoSpaceDN/>
        <w:bidi w:val="0"/>
        <w:spacing w:line="560" w:lineRule="exact"/>
        <w:ind w:firstLine="600" w:firstLineChars="200"/>
        <w:rPr>
          <w:rFonts w:ascii="仿宋_GB2312" w:eastAsia="仿宋_GB2312" w:cs="Arial"/>
          <w:sz w:val="30"/>
          <w:szCs w:val="30"/>
        </w:rPr>
      </w:pPr>
      <w:r>
        <w:rPr>
          <w:rFonts w:hint="eastAsia" w:ascii="仿宋_GB2312" w:eastAsia="仿宋_GB2312" w:cs="Arial"/>
          <w:sz w:val="30"/>
          <w:szCs w:val="30"/>
        </w:rPr>
        <w:t>⑸有计划、有目标地组织实施好本镇的经济发展、基础设施建设、社会公益事业建设；开展好社会福利活动；保障少数民族的权利和尊重少数民族的风俗习惯；保障宪法和法律赋予妇女儿童和残疾人的正当权益；实行男女平等、婚姻自由；保障劳工经商的合法权益，做到同工同酬。</w:t>
      </w:r>
    </w:p>
    <w:p>
      <w:pPr>
        <w:pStyle w:val="2"/>
        <w:keepNext w:val="0"/>
        <w:keepLines w:val="0"/>
        <w:pageBreakBefore w:val="0"/>
        <w:kinsoku/>
        <w:wordWrap/>
        <w:overflowPunct/>
        <w:topLinePunct w:val="0"/>
        <w:autoSpaceDE/>
        <w:autoSpaceDN/>
        <w:bidi w:val="0"/>
        <w:adjustRightInd w:val="0"/>
        <w:snapToGrid w:val="0"/>
        <w:spacing w:before="93" w:line="560" w:lineRule="exact"/>
        <w:ind w:firstLine="600" w:firstLineChars="200"/>
        <w:rPr>
          <w:rFonts w:hAnsi="宋体" w:cs="Arial"/>
          <w:kern w:val="0"/>
          <w:szCs w:val="30"/>
        </w:rPr>
      </w:pPr>
      <w:r>
        <w:rPr>
          <w:rFonts w:hint="eastAsia" w:hAnsi="宋体" w:cs="Arial"/>
          <w:kern w:val="0"/>
          <w:szCs w:val="30"/>
        </w:rPr>
        <w:t>（二）2017年度重点工作任务介绍</w:t>
      </w:r>
    </w:p>
    <w:p>
      <w:pPr>
        <w:keepNext w:val="0"/>
        <w:keepLines w:val="0"/>
        <w:pageBreakBefore w:val="0"/>
        <w:kinsoku/>
        <w:wordWrap/>
        <w:overflowPunct/>
        <w:topLinePunct w:val="0"/>
        <w:autoSpaceDE/>
        <w:autoSpaceDN/>
        <w:bidi w:val="0"/>
        <w:snapToGrid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1、党建工作。</w:t>
      </w:r>
    </w:p>
    <w:p>
      <w:pPr>
        <w:keepNext w:val="0"/>
        <w:keepLines w:val="0"/>
        <w:pageBreakBefore w:val="0"/>
        <w:kinsoku/>
        <w:wordWrap/>
        <w:overflowPunct/>
        <w:topLinePunct w:val="0"/>
        <w:autoSpaceDE/>
        <w:autoSpaceDN/>
        <w:bidi w:val="0"/>
        <w:spacing w:line="560" w:lineRule="exact"/>
        <w:ind w:right="-52"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为全面推进镇经济社会全面发展，打赢脱贫、城乡环境提升行动攻坚战，与全州全县同步实现全面建成小康社会，镇党委政府积极到县跑州争取项目资金，继续加大对党建、扶贫、民生、教育、计生、文明创建等各项经费的投入，确保了各政策的兑现；2017 年弄璋镇乡镇党组织建设10万元，48个村民小组活动场所建设资金888万元，南缓村道路硬化及基础设施建设390.3万元，芒线村芒广村民小组民房建设资金142万元，弄勐村“四类人员”危房改造建设资金23万元，边府村芒令村民小组道路硬化资金90万元，模恒村小辛街村内道路硬化建设40万元等。</w:t>
      </w:r>
    </w:p>
    <w:p>
      <w:pPr>
        <w:keepNext w:val="0"/>
        <w:keepLines w:val="0"/>
        <w:pageBreakBefore w:val="0"/>
        <w:kinsoku/>
        <w:wordWrap/>
        <w:overflowPunct/>
        <w:topLinePunct w:val="0"/>
        <w:autoSpaceDE/>
        <w:autoSpaceDN/>
        <w:bidi w:val="0"/>
        <w:spacing w:line="560" w:lineRule="exact"/>
        <w:ind w:right="-52"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2、脱贫攻坚工作砥砺前行，取得成效。</w:t>
      </w:r>
    </w:p>
    <w:p>
      <w:pPr>
        <w:keepNext w:val="0"/>
        <w:keepLines w:val="0"/>
        <w:pageBreakBefore w:val="0"/>
        <w:kinsoku/>
        <w:wordWrap/>
        <w:overflowPunct/>
        <w:topLinePunct w:val="0"/>
        <w:autoSpaceDE/>
        <w:autoSpaceDN/>
        <w:bidi w:val="0"/>
        <w:spacing w:line="560" w:lineRule="exact"/>
        <w:ind w:right="-52"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2017年为弄璋镇脱贫攻坚工作的攻坚之年，本年有两个贫困村芒面村及边府村需脱贫出列，在挂钩单位及本镇挂钩干部的共同努力之下，芒面村及边府人均收入超3200元，家家有稳固住房、收入稳定，达到预期目标，按时脱贫出列。搬迁点工作顺利开展，民房建设有序进行；确保所有贫困户能及时享受到国家的扶贫政策，早日脱贫。</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3.继续做好民政补贴农民资金管理和发放工作。</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2017年度我镇共发放民政补贴农民资金7489112元；其中临时救济资金70300元；中央自然灾害资金90000元；农村低保4218362元；老年人健康体检资金1100元；困难残疾人两项补贴52800元；高龄补贴308400元；城乡医疗救助53000元；五保供养资金637200元；芒线村芒广村民小组民房建设资金款1420000元；边民补助273000元；城乡特困人员提标资金364950元,及时足额地发放到户。</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 xml:space="preserve">                                                                                                                                                                                         </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4、坚持做好会计账与出纳账的核对工作</w:t>
      </w:r>
    </w:p>
    <w:p>
      <w:pPr>
        <w:keepNext w:val="0"/>
        <w:keepLines w:val="0"/>
        <w:pageBreakBefore w:val="0"/>
        <w:kinsoku/>
        <w:wordWrap/>
        <w:overflowPunct/>
        <w:topLinePunct w:val="0"/>
        <w:autoSpaceDE/>
        <w:autoSpaceDN/>
        <w:bidi w:val="0"/>
        <w:spacing w:line="560" w:lineRule="exact"/>
        <w:ind w:firstLine="600" w:firstLineChars="200"/>
        <w:rPr>
          <w:rFonts w:ascii="仿宋_GB2312" w:hAnsi="仿宋" w:eastAsia="仿宋_GB2312" w:cs="Times New Roman"/>
          <w:sz w:val="32"/>
          <w:szCs w:val="32"/>
        </w:rPr>
      </w:pPr>
      <w:r>
        <w:rPr>
          <w:rFonts w:hint="eastAsia" w:ascii="仿宋_GB2312" w:hAnsi="宋体" w:eastAsia="仿宋_GB2312" w:cs="Arial"/>
          <w:kern w:val="0"/>
          <w:sz w:val="30"/>
          <w:szCs w:val="30"/>
        </w:rPr>
        <w:t>截止2017年12月，我镇共有四个银行账户，分别为特设专户、零余额账户和救灾专户、党费专户。出纳账分别设有银行存款日记账和现金日记账，并且出纳员坚持每天做到了银行存款和现金的收入、支出登记工作，确保了我镇每天的财务开支都能顺利进行。会计账套设有5个，分别为行政账套、事业账套、救灾资金账套、基建账套和脱贫攻坚资金账套。会计员做到每月发生的收入、支出能当月完成账务处理，并坚持每月与出纳员核对银行存款余额和现金余额。</w:t>
      </w:r>
    </w:p>
    <w:p>
      <w:pPr>
        <w:keepNext w:val="0"/>
        <w:keepLines w:val="0"/>
        <w:pageBreakBefore w:val="0"/>
        <w:kinsoku/>
        <w:wordWrap/>
        <w:overflowPunct/>
        <w:topLinePunct w:val="0"/>
        <w:autoSpaceDE/>
        <w:autoSpaceDN/>
        <w:bidi w:val="0"/>
        <w:spacing w:line="560" w:lineRule="exact"/>
        <w:ind w:firstLine="600" w:firstLineChars="200"/>
        <w:rPr>
          <w:rFonts w:ascii="黑体" w:hAnsi="黑体" w:eastAsia="黑体"/>
          <w:sz w:val="30"/>
          <w:szCs w:val="30"/>
        </w:rPr>
      </w:pPr>
      <w:r>
        <w:rPr>
          <w:rFonts w:hint="eastAsia" w:ascii="黑体" w:hAnsi="黑体" w:eastAsia="黑体"/>
          <w:sz w:val="30"/>
          <w:szCs w:val="30"/>
        </w:rPr>
        <w:t>二、部门基本情况</w:t>
      </w:r>
    </w:p>
    <w:p>
      <w:pPr>
        <w:keepNext w:val="0"/>
        <w:keepLines w:val="0"/>
        <w:pageBreakBefore w:val="0"/>
        <w:kinsoku/>
        <w:wordWrap/>
        <w:overflowPunct/>
        <w:topLinePunct w:val="0"/>
        <w:autoSpaceDE/>
        <w:autoSpaceDN/>
        <w:bidi w:val="0"/>
        <w:spacing w:line="560" w:lineRule="exact"/>
        <w:ind w:firstLine="600" w:firstLineChars="200"/>
        <w:rPr>
          <w:rFonts w:ascii="楷体" w:hAnsi="楷体" w:eastAsia="楷体"/>
          <w:sz w:val="30"/>
          <w:szCs w:val="30"/>
        </w:rPr>
      </w:pPr>
      <w:r>
        <w:rPr>
          <w:rFonts w:hint="eastAsia" w:ascii="楷体" w:hAnsi="楷体" w:eastAsia="楷体"/>
          <w:sz w:val="30"/>
          <w:szCs w:val="30"/>
        </w:rPr>
        <w:t>（一）部门决算单位构成</w:t>
      </w:r>
    </w:p>
    <w:p>
      <w:pPr>
        <w:keepNext w:val="0"/>
        <w:keepLines w:val="0"/>
        <w:pageBreakBefore w:val="0"/>
        <w:kinsoku/>
        <w:wordWrap/>
        <w:overflowPunct/>
        <w:topLinePunct w:val="0"/>
        <w:autoSpaceDE/>
        <w:autoSpaceDN/>
        <w:bidi w:val="0"/>
        <w:spacing w:line="560" w:lineRule="exact"/>
        <w:ind w:firstLine="600" w:firstLineChars="200"/>
        <w:rPr>
          <w:rFonts w:ascii="仿宋_GB2312" w:eastAsia="仿宋_GB2312"/>
          <w:color w:val="FF0000"/>
          <w:sz w:val="30"/>
          <w:szCs w:val="30"/>
        </w:rPr>
      </w:pPr>
      <w:r>
        <w:rPr>
          <w:rFonts w:hint="eastAsia" w:ascii="仿宋_GB2312" w:eastAsia="仿宋_GB2312"/>
          <w:sz w:val="30"/>
          <w:szCs w:val="30"/>
        </w:rPr>
        <w:t>纳入弄璋镇人民政府2017年度部门决算编报的单位</w:t>
      </w:r>
      <w:r>
        <w:rPr>
          <w:rFonts w:hint="eastAsia" w:ascii="仿宋_GB2312" w:eastAsia="仿宋_GB2312"/>
          <w:color w:val="000000" w:themeColor="text1"/>
          <w:sz w:val="30"/>
          <w:szCs w:val="30"/>
        </w:rPr>
        <w:t>共7个</w:t>
      </w:r>
      <w:r>
        <w:rPr>
          <w:rFonts w:hint="eastAsia" w:ascii="仿宋_GB2312" w:eastAsia="仿宋_GB2312"/>
          <w:sz w:val="30"/>
          <w:szCs w:val="30"/>
        </w:rPr>
        <w:t>。其中：行政单位4个，分别是：共产党机关1个，政府机关1个，人大常委会机关1个，群众团体1个，参照公务员法管理的事业单位0个，其他事业单位3个，分别是：农林水部门、群众文化部门、社会保障服务中心。</w:t>
      </w:r>
    </w:p>
    <w:p>
      <w:pPr>
        <w:keepNext w:val="0"/>
        <w:keepLines w:val="0"/>
        <w:pageBreakBefore w:val="0"/>
        <w:kinsoku/>
        <w:wordWrap/>
        <w:overflowPunct/>
        <w:topLinePunct w:val="0"/>
        <w:autoSpaceDE/>
        <w:autoSpaceDN/>
        <w:bidi w:val="0"/>
        <w:spacing w:line="560" w:lineRule="exact"/>
        <w:ind w:firstLine="600" w:firstLineChars="200"/>
        <w:rPr>
          <w:rFonts w:ascii="楷体" w:hAnsi="楷体" w:eastAsia="楷体"/>
          <w:sz w:val="30"/>
          <w:szCs w:val="30"/>
        </w:rPr>
      </w:pPr>
      <w:r>
        <w:rPr>
          <w:rFonts w:hint="eastAsia" w:ascii="楷体" w:hAnsi="楷体" w:eastAsia="楷体"/>
          <w:sz w:val="30"/>
          <w:szCs w:val="30"/>
        </w:rPr>
        <w:t xml:space="preserve">（二）部门人员和车辆的编制及实有情况 </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eastAsia="仿宋_GB2312"/>
          <w:sz w:val="30"/>
          <w:szCs w:val="30"/>
        </w:rPr>
        <w:t>弄璋镇部门2017年末实有人员编制78</w:t>
      </w:r>
      <w:r>
        <w:rPr>
          <w:rFonts w:hint="eastAsia" w:ascii="仿宋_GB2312" w:hAnsi="宋体" w:eastAsia="仿宋_GB2312" w:cs="Arial"/>
          <w:kern w:val="0"/>
          <w:sz w:val="30"/>
          <w:szCs w:val="30"/>
        </w:rPr>
        <w:t>人。其中：行政编制</w:t>
      </w:r>
      <w:r>
        <w:rPr>
          <w:rFonts w:hint="eastAsia" w:ascii="仿宋_GB2312" w:eastAsia="仿宋_GB2312"/>
          <w:sz w:val="30"/>
          <w:szCs w:val="30"/>
        </w:rPr>
        <w:t>37</w:t>
      </w:r>
      <w:r>
        <w:rPr>
          <w:rFonts w:hint="eastAsia" w:ascii="仿宋_GB2312" w:hAnsi="宋体" w:eastAsia="仿宋_GB2312" w:cs="Arial"/>
          <w:kern w:val="0"/>
          <w:sz w:val="30"/>
          <w:szCs w:val="30"/>
        </w:rPr>
        <w:t>人（含行政工勤编制</w:t>
      </w:r>
      <w:r>
        <w:rPr>
          <w:rFonts w:hint="eastAsia" w:ascii="仿宋_GB2312" w:eastAsia="仿宋_GB2312"/>
          <w:sz w:val="30"/>
          <w:szCs w:val="30"/>
        </w:rPr>
        <w:t>3</w:t>
      </w:r>
      <w:r>
        <w:rPr>
          <w:rFonts w:hint="eastAsia" w:ascii="仿宋_GB2312" w:hAnsi="宋体" w:eastAsia="仿宋_GB2312" w:cs="Arial"/>
          <w:kern w:val="0"/>
          <w:sz w:val="30"/>
          <w:szCs w:val="30"/>
        </w:rPr>
        <w:t>人），事业编制</w:t>
      </w:r>
      <w:r>
        <w:rPr>
          <w:rFonts w:hint="eastAsia" w:ascii="仿宋_GB2312" w:eastAsia="仿宋_GB2312"/>
          <w:sz w:val="30"/>
          <w:szCs w:val="30"/>
        </w:rPr>
        <w:t>41</w:t>
      </w:r>
      <w:r>
        <w:rPr>
          <w:rFonts w:hint="eastAsia" w:ascii="仿宋_GB2312" w:hAnsi="宋体" w:eastAsia="仿宋_GB2312" w:cs="Arial"/>
          <w:kern w:val="0"/>
          <w:sz w:val="30"/>
          <w:szCs w:val="30"/>
        </w:rPr>
        <w:t>人（含参公管理事业编制</w:t>
      </w:r>
      <w:r>
        <w:rPr>
          <w:rFonts w:hint="eastAsia" w:ascii="仿宋_GB2312" w:eastAsia="仿宋_GB2312"/>
          <w:sz w:val="30"/>
          <w:szCs w:val="30"/>
        </w:rPr>
        <w:t>10</w:t>
      </w:r>
      <w:r>
        <w:rPr>
          <w:rFonts w:hint="eastAsia" w:ascii="仿宋_GB2312" w:hAnsi="宋体" w:eastAsia="仿宋_GB2312" w:cs="Arial"/>
          <w:kern w:val="0"/>
          <w:sz w:val="30"/>
          <w:szCs w:val="30"/>
        </w:rPr>
        <w:t>人）；在职在编实有行政人员</w:t>
      </w:r>
      <w:r>
        <w:rPr>
          <w:rFonts w:hint="eastAsia" w:ascii="仿宋_GB2312" w:eastAsia="仿宋_GB2312"/>
          <w:sz w:val="30"/>
          <w:szCs w:val="30"/>
        </w:rPr>
        <w:t>38</w:t>
      </w:r>
      <w:r>
        <w:rPr>
          <w:rFonts w:hint="eastAsia" w:ascii="仿宋_GB2312" w:hAnsi="宋体" w:eastAsia="仿宋_GB2312" w:cs="Arial"/>
          <w:kern w:val="0"/>
          <w:sz w:val="30"/>
          <w:szCs w:val="30"/>
        </w:rPr>
        <w:t>人（含行政工勤人员</w:t>
      </w:r>
      <w:r>
        <w:rPr>
          <w:rFonts w:hint="eastAsia" w:ascii="仿宋_GB2312" w:eastAsia="仿宋_GB2312"/>
          <w:sz w:val="30"/>
          <w:szCs w:val="30"/>
        </w:rPr>
        <w:t>3</w:t>
      </w:r>
      <w:r>
        <w:rPr>
          <w:rFonts w:hint="eastAsia" w:ascii="仿宋_GB2312" w:hAnsi="宋体" w:eastAsia="仿宋_GB2312" w:cs="Arial"/>
          <w:kern w:val="0"/>
          <w:sz w:val="30"/>
          <w:szCs w:val="30"/>
        </w:rPr>
        <w:t>人），事业人员</w:t>
      </w:r>
      <w:r>
        <w:rPr>
          <w:rFonts w:hint="eastAsia" w:ascii="仿宋_GB2312" w:eastAsia="仿宋_GB2312"/>
          <w:sz w:val="30"/>
          <w:szCs w:val="30"/>
        </w:rPr>
        <w:t>32</w:t>
      </w:r>
      <w:r>
        <w:rPr>
          <w:rFonts w:hint="eastAsia" w:ascii="仿宋_GB2312" w:hAnsi="宋体" w:eastAsia="仿宋_GB2312" w:cs="Arial"/>
          <w:kern w:val="0"/>
          <w:sz w:val="30"/>
          <w:szCs w:val="30"/>
        </w:rPr>
        <w:t>人（含参公管理事业人员</w:t>
      </w:r>
      <w:r>
        <w:rPr>
          <w:rFonts w:hint="eastAsia" w:ascii="仿宋_GB2312" w:eastAsia="仿宋_GB2312"/>
          <w:sz w:val="30"/>
          <w:szCs w:val="30"/>
        </w:rPr>
        <w:t>0</w:t>
      </w:r>
      <w:r>
        <w:rPr>
          <w:rFonts w:hint="eastAsia" w:ascii="仿宋_GB2312" w:hAnsi="宋体" w:eastAsia="仿宋_GB2312" w:cs="Arial"/>
          <w:kern w:val="0"/>
          <w:sz w:val="30"/>
          <w:szCs w:val="30"/>
        </w:rPr>
        <w:t>人）。</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离退休人员</w:t>
      </w:r>
      <w:r>
        <w:rPr>
          <w:rFonts w:hint="eastAsia" w:ascii="仿宋_GB2312" w:eastAsia="仿宋_GB2312"/>
          <w:sz w:val="30"/>
          <w:szCs w:val="30"/>
        </w:rPr>
        <w:t>0</w:t>
      </w:r>
      <w:r>
        <w:rPr>
          <w:rFonts w:hint="eastAsia" w:ascii="仿宋_GB2312" w:hAnsi="宋体" w:eastAsia="仿宋_GB2312" w:cs="Arial"/>
          <w:kern w:val="0"/>
          <w:sz w:val="30"/>
          <w:szCs w:val="30"/>
        </w:rPr>
        <w:t>人。其中：离休</w:t>
      </w:r>
      <w:r>
        <w:rPr>
          <w:rFonts w:hint="eastAsia" w:ascii="仿宋_GB2312" w:eastAsia="仿宋_GB2312"/>
          <w:sz w:val="30"/>
          <w:szCs w:val="30"/>
        </w:rPr>
        <w:t>0</w:t>
      </w:r>
      <w:r>
        <w:rPr>
          <w:rFonts w:hint="eastAsia" w:ascii="仿宋_GB2312" w:hAnsi="宋体" w:eastAsia="仿宋_GB2312" w:cs="Arial"/>
          <w:kern w:val="0"/>
          <w:sz w:val="30"/>
          <w:szCs w:val="30"/>
        </w:rPr>
        <w:t>人，退休</w:t>
      </w:r>
      <w:r>
        <w:rPr>
          <w:rFonts w:hint="eastAsia" w:ascii="仿宋_GB2312" w:eastAsia="仿宋_GB2312"/>
          <w:sz w:val="30"/>
          <w:szCs w:val="30"/>
        </w:rPr>
        <w:t>0</w:t>
      </w:r>
      <w:r>
        <w:rPr>
          <w:rFonts w:hint="eastAsia" w:ascii="仿宋_GB2312" w:hAnsi="宋体" w:eastAsia="仿宋_GB2312" w:cs="Arial"/>
          <w:kern w:val="0"/>
          <w:sz w:val="30"/>
          <w:szCs w:val="30"/>
        </w:rPr>
        <w:t>人（纳入社保）。</w:t>
      </w:r>
    </w:p>
    <w:p>
      <w:pPr>
        <w:keepNext w:val="0"/>
        <w:keepLines w:val="0"/>
        <w:pageBreakBefore w:val="0"/>
        <w:kinsoku/>
        <w:wordWrap/>
        <w:overflowPunct/>
        <w:topLinePunct w:val="0"/>
        <w:autoSpaceDE/>
        <w:autoSpaceDN/>
        <w:bidi w:val="0"/>
        <w:spacing w:line="560" w:lineRule="exact"/>
        <w:ind w:firstLine="600" w:firstLineChars="200"/>
        <w:rPr>
          <w:rFonts w:ascii="仿宋_GB2312" w:hAnsi="宋体" w:eastAsia="仿宋_GB2312" w:cs="Arial"/>
          <w:kern w:val="0"/>
          <w:sz w:val="30"/>
          <w:szCs w:val="30"/>
        </w:rPr>
      </w:pPr>
      <w:r>
        <w:rPr>
          <w:rFonts w:hint="eastAsia" w:ascii="仿宋_GB2312" w:hAnsi="宋体" w:eastAsia="仿宋_GB2312" w:cs="Arial"/>
          <w:kern w:val="0"/>
          <w:sz w:val="30"/>
          <w:szCs w:val="30"/>
        </w:rPr>
        <w:t>实有车辆编制</w:t>
      </w:r>
      <w:r>
        <w:rPr>
          <w:rFonts w:hint="eastAsia" w:ascii="仿宋_GB2312" w:eastAsia="仿宋_GB2312"/>
          <w:sz w:val="30"/>
          <w:szCs w:val="30"/>
        </w:rPr>
        <w:t>4</w:t>
      </w:r>
      <w:r>
        <w:rPr>
          <w:rFonts w:hint="eastAsia" w:ascii="仿宋_GB2312" w:hAnsi="宋体" w:eastAsia="仿宋_GB2312" w:cs="Arial"/>
          <w:kern w:val="0"/>
          <w:sz w:val="30"/>
          <w:szCs w:val="30"/>
        </w:rPr>
        <w:t>辆，在编实有车辆</w:t>
      </w:r>
      <w:r>
        <w:rPr>
          <w:rFonts w:hint="eastAsia" w:ascii="仿宋_GB2312" w:eastAsia="仿宋_GB2312"/>
          <w:sz w:val="30"/>
          <w:szCs w:val="30"/>
        </w:rPr>
        <w:t>4</w:t>
      </w:r>
      <w:r>
        <w:rPr>
          <w:rFonts w:hint="eastAsia" w:ascii="仿宋_GB2312" w:hAnsi="宋体" w:eastAsia="仿宋_GB2312" w:cs="Arial"/>
          <w:kern w:val="0"/>
          <w:sz w:val="30"/>
          <w:szCs w:val="30"/>
        </w:rPr>
        <w:t>辆。</w:t>
      </w:r>
    </w:p>
    <w:p>
      <w:pPr>
        <w:keepNext w:val="0"/>
        <w:keepLines w:val="0"/>
        <w:pageBreakBefore w:val="0"/>
        <w:kinsoku/>
        <w:wordWrap/>
        <w:overflowPunct/>
        <w:topLinePunct w:val="0"/>
        <w:autoSpaceDE/>
        <w:autoSpaceDN/>
        <w:bidi w:val="0"/>
        <w:spacing w:line="560" w:lineRule="exact"/>
        <w:ind w:firstLine="640" w:firstLineChars="200"/>
        <w:jc w:val="center"/>
        <w:rPr>
          <w:rFonts w:ascii="黑体" w:hAnsi="黑体" w:eastAsia="黑体"/>
          <w:sz w:val="32"/>
          <w:szCs w:val="32"/>
        </w:rPr>
      </w:pPr>
    </w:p>
    <w:p>
      <w:pPr>
        <w:keepNext w:val="0"/>
        <w:keepLines w:val="0"/>
        <w:pageBreakBefore w:val="0"/>
        <w:kinsoku/>
        <w:wordWrap/>
        <w:overflowPunct/>
        <w:topLinePunct w:val="0"/>
        <w:autoSpaceDE/>
        <w:autoSpaceDN/>
        <w:bidi w:val="0"/>
        <w:spacing w:line="560" w:lineRule="exact"/>
        <w:ind w:firstLine="600" w:firstLineChars="200"/>
        <w:rPr>
          <w:rFonts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color w:val="7030A0"/>
          <w:sz w:val="30"/>
          <w:szCs w:val="30"/>
        </w:rPr>
        <w:t xml:space="preserve"> </w:t>
      </w:r>
      <w:r>
        <w:rPr>
          <w:rFonts w:hint="eastAsia" w:ascii="黑体" w:hAnsi="黑体" w:eastAsia="黑体"/>
          <w:sz w:val="30"/>
          <w:szCs w:val="30"/>
        </w:rPr>
        <w:t>2017年度部门决算表</w:t>
      </w:r>
    </w:p>
    <w:p>
      <w:pPr>
        <w:keepNext w:val="0"/>
        <w:keepLines w:val="0"/>
        <w:pageBreakBefore w:val="0"/>
        <w:kinsoku/>
        <w:wordWrap/>
        <w:overflowPunct/>
        <w:topLinePunct w:val="0"/>
        <w:autoSpaceDE/>
        <w:autoSpaceDN/>
        <w:bidi w:val="0"/>
        <w:spacing w:line="560" w:lineRule="exact"/>
        <w:ind w:firstLine="600" w:firstLineChars="200"/>
        <w:jc w:val="center"/>
        <w:rPr>
          <w:rFonts w:ascii="黑体" w:hAnsi="黑体" w:eastAsia="黑体"/>
          <w:sz w:val="30"/>
          <w:szCs w:val="30"/>
        </w:rPr>
      </w:pPr>
      <w:r>
        <w:rPr>
          <w:rFonts w:hint="eastAsia" w:ascii="黑体" w:hAnsi="黑体" w:eastAsia="黑体"/>
          <w:sz w:val="30"/>
          <w:szCs w:val="30"/>
        </w:rPr>
        <w:t>（详见附表）</w:t>
      </w:r>
    </w:p>
    <w:p>
      <w:pPr>
        <w:keepNext w:val="0"/>
        <w:keepLines w:val="0"/>
        <w:pageBreakBefore w:val="0"/>
        <w:kinsoku/>
        <w:wordWrap/>
        <w:overflowPunct/>
        <w:topLinePunct w:val="0"/>
        <w:autoSpaceDE/>
        <w:autoSpaceDN/>
        <w:bidi w:val="0"/>
        <w:spacing w:line="560" w:lineRule="exact"/>
        <w:ind w:firstLine="640" w:firstLineChars="200"/>
        <w:jc w:val="center"/>
        <w:rPr>
          <w:rFonts w:ascii="黑体" w:hAnsi="黑体" w:eastAsia="黑体"/>
          <w:sz w:val="32"/>
          <w:szCs w:val="32"/>
        </w:rPr>
      </w:pPr>
    </w:p>
    <w:p>
      <w:pPr>
        <w:keepNext w:val="0"/>
        <w:keepLines w:val="0"/>
        <w:pageBreakBefore w:val="0"/>
        <w:kinsoku/>
        <w:wordWrap/>
        <w:overflowPunct/>
        <w:topLinePunct w:val="0"/>
        <w:autoSpaceDE/>
        <w:autoSpaceDN/>
        <w:bidi w:val="0"/>
        <w:spacing w:line="560" w:lineRule="exact"/>
        <w:ind w:firstLine="640" w:firstLineChars="200"/>
        <w:jc w:val="center"/>
        <w:rPr>
          <w:rFonts w:ascii="黑体" w:hAnsi="黑体" w:eastAsia="黑体"/>
          <w:sz w:val="32"/>
          <w:szCs w:val="32"/>
        </w:rPr>
      </w:pPr>
      <w:r>
        <w:rPr>
          <w:rFonts w:hint="eastAsia" w:ascii="黑体" w:hAnsi="黑体" w:eastAsia="黑体"/>
          <w:sz w:val="32"/>
          <w:szCs w:val="32"/>
        </w:rPr>
        <w:t>第三部门  2017年度部门决算情况说明</w:t>
      </w:r>
    </w:p>
    <w:p>
      <w:pPr>
        <w:keepNext w:val="0"/>
        <w:keepLines w:val="0"/>
        <w:pageBreakBefore w:val="0"/>
        <w:kinsoku/>
        <w:wordWrap/>
        <w:overflowPunct/>
        <w:topLinePunct w:val="0"/>
        <w:autoSpaceDE/>
        <w:autoSpaceDN/>
        <w:bidi w:val="0"/>
        <w:spacing w:line="560" w:lineRule="exact"/>
        <w:ind w:firstLine="600" w:firstLineChars="200"/>
        <w:jc w:val="left"/>
        <w:rPr>
          <w:rFonts w:ascii="黑体" w:hAnsi="黑体" w:eastAsia="黑体"/>
          <w:sz w:val="30"/>
          <w:szCs w:val="30"/>
        </w:rPr>
      </w:pPr>
      <w:r>
        <w:rPr>
          <w:rFonts w:hint="eastAsia" w:ascii="黑体" w:hAnsi="黑体" w:eastAsia="黑体"/>
          <w:sz w:val="30"/>
          <w:szCs w:val="30"/>
        </w:rPr>
        <w:t>一、收入决算情况说明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弄璋镇人民政府2017年度决算总收入</w:t>
      </w:r>
      <w:r>
        <w:rPr>
          <w:rFonts w:hint="eastAsia" w:ascii="仿宋_GB2312" w:hAnsi="仿宋" w:eastAsia="仿宋_GB2312"/>
          <w:sz w:val="32"/>
          <w:szCs w:val="32"/>
        </w:rPr>
        <w:t>3809.68</w:t>
      </w:r>
      <w:r>
        <w:rPr>
          <w:rFonts w:hint="eastAsia" w:ascii="仿宋_GB2312" w:eastAsia="仿宋_GB2312"/>
          <w:sz w:val="30"/>
          <w:szCs w:val="30"/>
        </w:rPr>
        <w:t>万元。其中：财政拨款收入</w:t>
      </w:r>
      <w:r>
        <w:rPr>
          <w:rFonts w:hint="eastAsia" w:ascii="仿宋_GB2312" w:hAnsi="仿宋" w:eastAsia="仿宋_GB2312"/>
          <w:sz w:val="32"/>
          <w:szCs w:val="32"/>
        </w:rPr>
        <w:t>3809.68</w:t>
      </w:r>
      <w:r>
        <w:rPr>
          <w:rFonts w:hint="eastAsia" w:ascii="仿宋_GB2312" w:eastAsia="仿宋_GB2312"/>
          <w:sz w:val="30"/>
          <w:szCs w:val="30"/>
        </w:rPr>
        <w:t>万元，占总收入的100%；上级补助收入0万元，事业收入0万元，经营收入0万元，附属单位缴款收入0万元，其他收入0万元。与上年2038.17万元对比增加1771.51万元，增长87%，主要原因是</w:t>
      </w:r>
      <w:r>
        <w:rPr>
          <w:rFonts w:hint="eastAsia" w:ascii="仿宋_GB2312" w:eastAsia="仿宋_GB2312"/>
          <w:color w:val="FF0000"/>
          <w:sz w:val="30"/>
          <w:szCs w:val="30"/>
        </w:rPr>
        <w:t>：</w:t>
      </w:r>
      <w:r>
        <w:rPr>
          <w:rFonts w:hint="eastAsia" w:ascii="仿宋_GB2312" w:eastAsia="仿宋_GB2312"/>
          <w:sz w:val="30"/>
          <w:szCs w:val="30"/>
        </w:rPr>
        <w:t>人员工资调资增资 94.6万元，边境地区转移支付项目资金增加100万元，新增债务项目资金199万，48个村民小组活动场所建设项目资金增加953万元等。</w:t>
      </w:r>
    </w:p>
    <w:p>
      <w:pPr>
        <w:keepNext w:val="0"/>
        <w:keepLines w:val="0"/>
        <w:pageBreakBefore w:val="0"/>
        <w:kinsoku/>
        <w:wordWrap/>
        <w:overflowPunct/>
        <w:topLinePunct w:val="0"/>
        <w:autoSpaceDE/>
        <w:autoSpaceDN/>
        <w:bidi w:val="0"/>
        <w:spacing w:line="560" w:lineRule="exact"/>
        <w:ind w:firstLine="600" w:firstLineChars="200"/>
        <w:jc w:val="left"/>
        <w:rPr>
          <w:rFonts w:ascii="黑体" w:hAnsi="黑体" w:eastAsia="黑体"/>
          <w:sz w:val="30"/>
          <w:szCs w:val="30"/>
        </w:rPr>
      </w:pPr>
      <w:r>
        <w:rPr>
          <w:rFonts w:hint="eastAsia" w:ascii="黑体" w:hAnsi="黑体" w:eastAsia="黑体"/>
          <w:sz w:val="30"/>
          <w:szCs w:val="30"/>
        </w:rPr>
        <w:t>二、支出决算情况说明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弄璋镇人民</w:t>
      </w:r>
      <w:r>
        <w:rPr>
          <w:rFonts w:hint="eastAsia" w:ascii="仿宋_GB2312" w:eastAsia="仿宋_GB2312"/>
          <w:sz w:val="30"/>
          <w:szCs w:val="30"/>
          <w:lang w:eastAsia="zh-CN"/>
        </w:rPr>
        <w:t>政府</w:t>
      </w:r>
      <w:r>
        <w:rPr>
          <w:rFonts w:hint="eastAsia" w:ascii="仿宋_GB2312" w:eastAsia="仿宋_GB2312"/>
          <w:sz w:val="30"/>
          <w:szCs w:val="30"/>
        </w:rPr>
        <w:t>2017年度支出合计</w:t>
      </w:r>
      <w:r>
        <w:rPr>
          <w:rFonts w:hint="eastAsia" w:ascii="仿宋_GB2312" w:hAnsi="仿宋" w:eastAsia="仿宋_GB2312"/>
          <w:sz w:val="32"/>
          <w:szCs w:val="32"/>
        </w:rPr>
        <w:t>2872.55</w:t>
      </w:r>
      <w:r>
        <w:rPr>
          <w:rFonts w:hint="eastAsia" w:ascii="仿宋_GB2312" w:eastAsia="仿宋_GB2312"/>
          <w:sz w:val="30"/>
          <w:szCs w:val="30"/>
        </w:rPr>
        <w:t>万元。其中：</w:t>
      </w:r>
      <w:r>
        <w:rPr>
          <w:rFonts w:hint="eastAsia" w:ascii="仿宋_GB2312" w:hAnsi="宋体" w:eastAsia="仿宋_GB2312" w:cs="Arial"/>
          <w:kern w:val="0"/>
          <w:sz w:val="30"/>
          <w:szCs w:val="30"/>
        </w:rPr>
        <w:t>基本支出</w:t>
      </w:r>
      <w:r>
        <w:rPr>
          <w:rFonts w:hint="eastAsia" w:ascii="仿宋_GB2312" w:hAnsi="仿宋" w:eastAsia="仿宋_GB2312"/>
          <w:sz w:val="32"/>
          <w:szCs w:val="32"/>
        </w:rPr>
        <w:t>1431.33</w:t>
      </w:r>
      <w:r>
        <w:rPr>
          <w:rFonts w:hint="eastAsia" w:ascii="仿宋_GB2312" w:hAnsi="宋体" w:eastAsia="仿宋_GB2312" w:cs="Arial"/>
          <w:kern w:val="0"/>
          <w:sz w:val="30"/>
          <w:szCs w:val="30"/>
        </w:rPr>
        <w:t>万元，占总支出的</w:t>
      </w:r>
      <w:r>
        <w:rPr>
          <w:rFonts w:hint="eastAsia" w:ascii="仿宋_GB2312" w:eastAsia="仿宋_GB2312"/>
          <w:sz w:val="30"/>
          <w:szCs w:val="30"/>
        </w:rPr>
        <w:t>50</w:t>
      </w:r>
      <w:r>
        <w:rPr>
          <w:rFonts w:hint="eastAsia" w:ascii="仿宋_GB2312" w:hAnsi="宋体" w:eastAsia="仿宋_GB2312" w:cs="Arial"/>
          <w:kern w:val="0"/>
          <w:sz w:val="30"/>
          <w:szCs w:val="30"/>
        </w:rPr>
        <w:t>％；项目支出</w:t>
      </w:r>
      <w:r>
        <w:rPr>
          <w:rFonts w:hint="eastAsia" w:ascii="仿宋_GB2312" w:hAnsi="仿宋" w:eastAsia="仿宋_GB2312"/>
          <w:sz w:val="32"/>
          <w:szCs w:val="32"/>
        </w:rPr>
        <w:t>1441.22</w:t>
      </w:r>
      <w:r>
        <w:rPr>
          <w:rFonts w:hint="eastAsia" w:ascii="仿宋_GB2312" w:hAnsi="宋体" w:eastAsia="仿宋_GB2312" w:cs="Arial"/>
          <w:kern w:val="0"/>
          <w:sz w:val="30"/>
          <w:szCs w:val="30"/>
        </w:rPr>
        <w:t>万元，占总支出的</w:t>
      </w:r>
      <w:r>
        <w:rPr>
          <w:rFonts w:hint="eastAsia" w:ascii="仿宋_GB2312" w:eastAsia="仿宋_GB2312"/>
          <w:sz w:val="30"/>
          <w:szCs w:val="30"/>
        </w:rPr>
        <w:t>50</w:t>
      </w:r>
      <w:r>
        <w:rPr>
          <w:rFonts w:hint="eastAsia" w:ascii="仿宋_GB2312" w:hAnsi="宋体" w:eastAsia="仿宋_GB2312" w:cs="Arial"/>
          <w:kern w:val="0"/>
          <w:sz w:val="30"/>
          <w:szCs w:val="30"/>
        </w:rPr>
        <w:t>％；上缴上级支出、经营支出、对附属单位补助支出共</w:t>
      </w:r>
      <w:r>
        <w:rPr>
          <w:rFonts w:hint="eastAsia" w:ascii="仿宋_GB2312" w:eastAsia="仿宋_GB2312"/>
          <w:sz w:val="30"/>
          <w:szCs w:val="30"/>
        </w:rPr>
        <w:t>0</w:t>
      </w:r>
      <w:r>
        <w:rPr>
          <w:rFonts w:hint="eastAsia" w:ascii="仿宋_GB2312" w:hAnsi="宋体" w:eastAsia="仿宋_GB2312" w:cs="Arial"/>
          <w:kern w:val="0"/>
          <w:sz w:val="30"/>
          <w:szCs w:val="30"/>
        </w:rPr>
        <w:t>万元。</w:t>
      </w:r>
      <w:r>
        <w:rPr>
          <w:rFonts w:hint="eastAsia" w:ascii="仿宋_GB2312" w:eastAsia="仿宋_GB2312"/>
          <w:sz w:val="30"/>
          <w:szCs w:val="30"/>
        </w:rPr>
        <w:t>与上年总支出1635.71万元对比增加</w:t>
      </w:r>
      <w:r>
        <w:rPr>
          <w:rFonts w:hint="eastAsia" w:ascii="仿宋_GB2312" w:hAnsi="仿宋" w:eastAsia="仿宋_GB2312"/>
          <w:sz w:val="32"/>
          <w:szCs w:val="32"/>
        </w:rPr>
        <w:t>1236.84万元，增长76%</w:t>
      </w:r>
      <w:r>
        <w:rPr>
          <w:rFonts w:hint="eastAsia" w:ascii="仿宋_GB2312" w:eastAsia="仿宋_GB2312"/>
          <w:sz w:val="30"/>
          <w:szCs w:val="30"/>
        </w:rPr>
        <w:t>。主要原因是：人员工资调资增资 94.6万元，边境地区转移支付项目资金增加100万元，新增债务项目资金199万，48个村民小组活动场所建设项目资金增加953万元等。</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楷体" w:hAnsi="楷体" w:eastAsia="楷体"/>
          <w:sz w:val="30"/>
          <w:szCs w:val="30"/>
        </w:rPr>
      </w:pPr>
      <w:r>
        <w:rPr>
          <w:rFonts w:hint="eastAsia" w:ascii="楷体" w:hAnsi="楷体" w:eastAsia="楷体"/>
          <w:sz w:val="30"/>
          <w:szCs w:val="30"/>
        </w:rPr>
        <w:t>（一）基本支出情况</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eastAsia="仿宋_GB2312"/>
          <w:sz w:val="30"/>
          <w:szCs w:val="30"/>
        </w:rPr>
      </w:pPr>
      <w:r>
        <w:rPr>
          <w:rFonts w:hint="eastAsia" w:ascii="仿宋_GB2312" w:eastAsia="仿宋_GB2312"/>
          <w:sz w:val="30"/>
          <w:szCs w:val="30"/>
        </w:rPr>
        <w:t>2017年度用于保障弄璋镇政府机关、事业单位机构正常运转的日常支出</w:t>
      </w:r>
      <w:r>
        <w:rPr>
          <w:rFonts w:hint="eastAsia" w:ascii="仿宋_GB2312" w:hAnsi="仿宋" w:eastAsia="仿宋_GB2312"/>
          <w:sz w:val="32"/>
          <w:szCs w:val="32"/>
        </w:rPr>
        <w:t>1431.33</w:t>
      </w:r>
      <w:r>
        <w:rPr>
          <w:rFonts w:hint="eastAsia" w:ascii="仿宋_GB2312" w:eastAsia="仿宋_GB2312"/>
          <w:sz w:val="30"/>
          <w:szCs w:val="30"/>
        </w:rPr>
        <w:t>万元。与上年1392.38万元对比增加</w:t>
      </w:r>
      <w:r>
        <w:rPr>
          <w:rFonts w:hint="eastAsia" w:ascii="仿宋_GB2312" w:hAnsi="仿宋" w:eastAsia="仿宋_GB2312"/>
          <w:sz w:val="32"/>
          <w:szCs w:val="32"/>
        </w:rPr>
        <w:t>38.95万元</w:t>
      </w:r>
      <w:r>
        <w:rPr>
          <w:rFonts w:hint="eastAsia" w:ascii="仿宋_GB2312" w:eastAsia="仿宋_GB2312"/>
          <w:sz w:val="30"/>
          <w:szCs w:val="30"/>
        </w:rPr>
        <w:t>,主要原因分析人员工资调资增资。包括基本工资、津贴补贴等人员经费支出1184.19万元，占基本支出的83％；办公费、印刷费、水电费、办公设备购置等日常公用经费支出为247.14万元占基本支出的17％。人均支出0.4万元（含村委会人员 70 人）</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楷体" w:hAnsi="楷体" w:eastAsia="楷体"/>
          <w:sz w:val="30"/>
          <w:szCs w:val="30"/>
        </w:rPr>
      </w:pPr>
      <w:r>
        <w:rPr>
          <w:rFonts w:hint="eastAsia" w:ascii="楷体" w:hAnsi="楷体" w:eastAsia="楷体"/>
          <w:sz w:val="30"/>
          <w:szCs w:val="30"/>
        </w:rPr>
        <w:t>（二）项目支出情况</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eastAsia="仿宋_GB2312"/>
          <w:color w:val="FF0000"/>
          <w:sz w:val="30"/>
          <w:szCs w:val="30"/>
        </w:rPr>
      </w:pPr>
      <w:r>
        <w:rPr>
          <w:rFonts w:hint="eastAsia" w:ascii="仿宋_GB2312" w:hAnsi="仿宋_GB2312" w:eastAsia="仿宋_GB2312" w:cs="仿宋_GB2312"/>
          <w:sz w:val="30"/>
          <w:szCs w:val="30"/>
        </w:rPr>
        <w:t>2017年用于保障政府机关、事业单位等机构为完成特定的行政工作任务或事业发展目标，用于专项业务工作的经费支出</w:t>
      </w:r>
      <w:r>
        <w:rPr>
          <w:rFonts w:hint="eastAsia" w:ascii="仿宋_GB2312" w:hAnsi="仿宋_GB2312" w:eastAsia="仿宋_GB2312" w:cs="仿宋_GB2312"/>
          <w:color w:val="000000"/>
          <w:sz w:val="30"/>
          <w:szCs w:val="30"/>
        </w:rPr>
        <w:t>1441.22</w:t>
      </w:r>
      <w:r>
        <w:rPr>
          <w:rFonts w:hint="eastAsia" w:ascii="仿宋_GB2312" w:hAnsi="仿宋_GB2312" w:eastAsia="仿宋_GB2312" w:cs="仿宋_GB2312"/>
          <w:sz w:val="30"/>
          <w:szCs w:val="30"/>
        </w:rPr>
        <w:t>万元。与上年243.34万元对比大增加1197.88万元，增长500%，增加的原因是：2017年</w:t>
      </w:r>
      <w:r>
        <w:rPr>
          <w:rFonts w:hint="eastAsia" w:ascii="仿宋_GB2312" w:eastAsia="仿宋_GB2312"/>
          <w:sz w:val="30"/>
          <w:szCs w:val="30"/>
        </w:rPr>
        <w:t>边境地区转移支付项目资金增加100万元，新增债务项目资金199万，48个村民小组活动场所建设项目资金增加953万元等。</w:t>
      </w:r>
    </w:p>
    <w:p>
      <w:pPr>
        <w:keepNext w:val="0"/>
        <w:keepLines w:val="0"/>
        <w:pageBreakBefore w:val="0"/>
        <w:widowControl/>
        <w:kinsoku/>
        <w:wordWrap/>
        <w:overflowPunct/>
        <w:topLinePunct w:val="0"/>
        <w:autoSpaceDE/>
        <w:autoSpaceDN/>
        <w:bidi w:val="0"/>
        <w:snapToGrid w:val="0"/>
        <w:spacing w:before="100" w:after="100" w:line="560" w:lineRule="exact"/>
        <w:ind w:firstLine="602" w:firstLineChars="200"/>
        <w:jc w:val="left"/>
        <w:rPr>
          <w:rFonts w:ascii="黑体" w:hAnsi="黑体" w:eastAsia="黑体"/>
          <w:color w:val="FF0000"/>
          <w:sz w:val="28"/>
          <w:szCs w:val="28"/>
        </w:rPr>
      </w:pPr>
      <w:r>
        <w:rPr>
          <w:rFonts w:hint="eastAsia" w:ascii="黑体" w:hAnsi="黑体" w:eastAsia="黑体"/>
          <w:b/>
          <w:bCs/>
          <w:sz w:val="30"/>
          <w:szCs w:val="30"/>
        </w:rPr>
        <w:t>三、一般公共预算</w:t>
      </w:r>
      <w:r>
        <w:rPr>
          <w:rFonts w:hint="eastAsia" w:ascii="黑体" w:hAnsi="黑体" w:eastAsia="黑体"/>
          <w:sz w:val="30"/>
          <w:szCs w:val="30"/>
        </w:rPr>
        <w:t>财政拨款支出决算情况说明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楷体" w:hAnsi="楷体" w:eastAsia="楷体"/>
          <w:sz w:val="30"/>
          <w:szCs w:val="30"/>
        </w:rPr>
      </w:pPr>
      <w:r>
        <w:rPr>
          <w:rFonts w:hint="eastAsia" w:ascii="楷体" w:hAnsi="楷体" w:eastAsia="楷体"/>
          <w:sz w:val="30"/>
          <w:szCs w:val="30"/>
        </w:rPr>
        <w:t>（一）一般公共预算财政拨款支出决算总体情况</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color w:val="000000" w:themeColor="text1"/>
          <w:kern w:val="0"/>
          <w:sz w:val="30"/>
          <w:szCs w:val="30"/>
        </w:rPr>
      </w:pPr>
      <w:r>
        <w:rPr>
          <w:rFonts w:hint="eastAsia" w:ascii="仿宋_GB2312" w:eastAsia="仿宋_GB2312"/>
          <w:sz w:val="30"/>
          <w:szCs w:val="30"/>
        </w:rPr>
        <w:t>弄璋镇人民政府2017年度一般公共预算财政拨款支出</w:t>
      </w:r>
      <w:r>
        <w:rPr>
          <w:rFonts w:hint="eastAsia" w:ascii="仿宋_GB2312" w:hAnsi="宋体" w:eastAsia="仿宋_GB2312" w:cs="Arial"/>
          <w:kern w:val="0"/>
          <w:sz w:val="30"/>
          <w:szCs w:val="30"/>
        </w:rPr>
        <w:t>2783.3万元,占本年支出合计的</w:t>
      </w:r>
      <w:r>
        <w:rPr>
          <w:rFonts w:hint="eastAsia" w:ascii="仿宋_GB2312" w:eastAsia="仿宋_GB2312"/>
          <w:sz w:val="30"/>
          <w:szCs w:val="30"/>
        </w:rPr>
        <w:t>96.8</w:t>
      </w:r>
      <w:r>
        <w:rPr>
          <w:rFonts w:hint="eastAsia" w:ascii="仿宋_GB2312" w:hAnsi="宋体" w:eastAsia="仿宋_GB2312" w:cs="Arial"/>
          <w:kern w:val="0"/>
          <w:sz w:val="30"/>
          <w:szCs w:val="30"/>
        </w:rPr>
        <w:t>%。与上年1625.71万元对比增加1157.59万元</w:t>
      </w:r>
      <w:r>
        <w:rPr>
          <w:rFonts w:hint="eastAsia" w:ascii="仿宋_GB2312" w:eastAsia="仿宋_GB2312"/>
          <w:sz w:val="30"/>
          <w:szCs w:val="30"/>
        </w:rPr>
        <w:t>,增长71%，</w:t>
      </w:r>
      <w:r>
        <w:rPr>
          <w:rFonts w:hint="eastAsia" w:ascii="仿宋_GB2312" w:eastAsia="仿宋_GB2312"/>
          <w:color w:val="000000" w:themeColor="text1"/>
          <w:sz w:val="30"/>
          <w:szCs w:val="30"/>
        </w:rPr>
        <w:t>主要</w:t>
      </w:r>
      <w:r>
        <w:rPr>
          <w:rFonts w:hint="eastAsia" w:ascii="仿宋_GB2312" w:hAnsi="宋体" w:eastAsia="仿宋_GB2312" w:cs="Arial"/>
          <w:color w:val="000000" w:themeColor="text1"/>
          <w:kern w:val="0"/>
          <w:sz w:val="30"/>
          <w:szCs w:val="30"/>
        </w:rPr>
        <w:t>原因是：</w:t>
      </w:r>
      <w:r>
        <w:rPr>
          <w:rFonts w:ascii="仿宋_GB2312" w:hAnsi="宋体" w:eastAsia="仿宋_GB2312" w:cs="Arial"/>
          <w:color w:val="000000" w:themeColor="text1"/>
          <w:kern w:val="0"/>
          <w:sz w:val="30"/>
          <w:szCs w:val="30"/>
        </w:rPr>
        <w:t xml:space="preserve"> </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楷体" w:hAnsi="楷体" w:eastAsia="楷体"/>
          <w:sz w:val="30"/>
          <w:szCs w:val="30"/>
        </w:rPr>
      </w:pPr>
      <w:r>
        <w:rPr>
          <w:rFonts w:hint="eastAsia" w:ascii="楷体" w:hAnsi="楷体" w:eastAsia="楷体"/>
          <w:sz w:val="30"/>
          <w:szCs w:val="30"/>
        </w:rPr>
        <w:t>（二）一般公共预算财政拨款支出决算具体情况</w:t>
      </w:r>
      <w:r>
        <w:rPr>
          <w:rFonts w:hint="eastAsia" w:ascii="楷体" w:hAnsi="楷体" w:eastAsia="楷体"/>
          <w:sz w:val="30"/>
          <w:szCs w:val="30"/>
        </w:rPr>
        <w:tab/>
      </w:r>
      <w:r>
        <w:rPr>
          <w:rFonts w:hint="eastAsia" w:ascii="楷体" w:hAnsi="楷体" w:eastAsia="楷体"/>
          <w:sz w:val="30"/>
          <w:szCs w:val="30"/>
        </w:rPr>
        <w:tab/>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1.一般公共服务（类）支出1272.05万元，</w:t>
      </w:r>
      <w:r>
        <w:rPr>
          <w:rFonts w:hint="eastAsia" w:ascii="仿宋_GB2312" w:eastAsia="仿宋_GB2312"/>
          <w:sz w:val="30"/>
          <w:szCs w:val="30"/>
        </w:rPr>
        <w:t>占一般公共预算财政拨款总支出的46%。</w:t>
      </w:r>
      <w:r>
        <w:rPr>
          <w:rFonts w:hint="eastAsia" w:ascii="仿宋_GB2312" w:hAnsi="宋体" w:eastAsia="仿宋_GB2312" w:cs="Arial"/>
          <w:kern w:val="0"/>
          <w:sz w:val="30"/>
          <w:szCs w:val="30"/>
        </w:rPr>
        <w:t>主要用于工资福利支出361.65万元，商品和服务支出163.45万元，对个人和家庭补助支出151.9万元，其他资本性支出595万元。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color w:val="FFFF00"/>
          <w:kern w:val="0"/>
          <w:sz w:val="30"/>
          <w:szCs w:val="30"/>
        </w:rPr>
      </w:pPr>
      <w:r>
        <w:rPr>
          <w:rFonts w:hint="eastAsia" w:ascii="仿宋_GB2312" w:hAnsi="宋体" w:eastAsia="仿宋_GB2312" w:cs="Arial"/>
          <w:kern w:val="0"/>
          <w:sz w:val="30"/>
          <w:szCs w:val="30"/>
        </w:rPr>
        <w:t>2.外交（类）支出</w:t>
      </w:r>
      <w:r>
        <w:rPr>
          <w:rFonts w:hint="eastAsia" w:ascii="仿宋_GB2312" w:eastAsia="仿宋_GB2312"/>
          <w:sz w:val="30"/>
          <w:szCs w:val="30"/>
        </w:rPr>
        <w:t>0</w:t>
      </w:r>
      <w:r>
        <w:rPr>
          <w:rFonts w:hint="eastAsia" w:ascii="仿宋_GB2312" w:hAnsi="宋体" w:eastAsia="仿宋_GB2312" w:cs="Arial"/>
          <w:kern w:val="0"/>
          <w:sz w:val="30"/>
          <w:szCs w:val="30"/>
        </w:rPr>
        <w:t>万元</w:t>
      </w:r>
      <w:r>
        <w:rPr>
          <w:rFonts w:hint="eastAsia" w:ascii="仿宋_GB2312" w:eastAsia="仿宋_GB2312"/>
          <w:sz w:val="30"/>
          <w:szCs w:val="30"/>
        </w:rPr>
        <w:t>。</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3.国防（类）支出</w:t>
      </w:r>
      <w:r>
        <w:rPr>
          <w:rFonts w:hint="eastAsia" w:ascii="仿宋_GB2312" w:eastAsia="仿宋_GB2312"/>
          <w:sz w:val="30"/>
          <w:szCs w:val="30"/>
        </w:rPr>
        <w:t>0</w:t>
      </w:r>
      <w:r>
        <w:rPr>
          <w:rFonts w:hint="eastAsia" w:ascii="仿宋_GB2312" w:hAnsi="宋体" w:eastAsia="仿宋_GB2312" w:cs="Arial"/>
          <w:kern w:val="0"/>
          <w:sz w:val="30"/>
          <w:szCs w:val="30"/>
        </w:rPr>
        <w:t>万元</w:t>
      </w:r>
      <w:r>
        <w:rPr>
          <w:rFonts w:hint="eastAsia" w:ascii="仿宋_GB2312" w:eastAsia="仿宋_GB2312"/>
          <w:sz w:val="30"/>
          <w:szCs w:val="30"/>
        </w:rPr>
        <w:t>。</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4.公共安全（类）支出</w:t>
      </w:r>
      <w:r>
        <w:rPr>
          <w:rFonts w:hint="eastAsia" w:ascii="仿宋_GB2312" w:eastAsia="仿宋_GB2312"/>
          <w:sz w:val="30"/>
          <w:szCs w:val="30"/>
        </w:rPr>
        <w:t>71.85</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占一般公共预算财政拨款总支出的3%。</w:t>
      </w:r>
      <w:r>
        <w:rPr>
          <w:rFonts w:hint="eastAsia" w:ascii="仿宋_GB2312" w:hAnsi="宋体" w:eastAsia="仿宋_GB2312" w:cs="Arial"/>
          <w:kern w:val="0"/>
          <w:sz w:val="30"/>
          <w:szCs w:val="30"/>
        </w:rPr>
        <w:t>主要用于工资福利支出42.11万元，商品和服务支出3.44万元，对个人和家庭补助支出26.3万元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5. 文化体育与传媒（类）支出</w:t>
      </w:r>
      <w:r>
        <w:rPr>
          <w:rFonts w:hint="eastAsia" w:ascii="仿宋_GB2312" w:eastAsia="仿宋_GB2312"/>
          <w:sz w:val="30"/>
          <w:szCs w:val="30"/>
        </w:rPr>
        <w:t>81.15</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占一般公共预算财政拨款总支出的3%。</w:t>
      </w:r>
      <w:r>
        <w:rPr>
          <w:rFonts w:hint="eastAsia" w:ascii="仿宋_GB2312" w:hAnsi="宋体" w:eastAsia="仿宋_GB2312" w:cs="Arial"/>
          <w:kern w:val="0"/>
          <w:sz w:val="30"/>
          <w:szCs w:val="30"/>
        </w:rPr>
        <w:t>主要用于工资福利支出53.53万元，商品和服务支出9.37万元，其他资本性支出18.25万元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6. 社会保障和就业（类）支出</w:t>
      </w:r>
      <w:r>
        <w:rPr>
          <w:rFonts w:hint="eastAsia" w:ascii="仿宋_GB2312" w:eastAsia="仿宋_GB2312"/>
          <w:sz w:val="30"/>
          <w:szCs w:val="30"/>
        </w:rPr>
        <w:t>194.97</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占一般公共预算财政拨款总支出的7%。</w:t>
      </w:r>
      <w:r>
        <w:rPr>
          <w:rFonts w:hint="eastAsia" w:ascii="仿宋_GB2312" w:hAnsi="宋体" w:eastAsia="仿宋_GB2312" w:cs="Arial"/>
          <w:kern w:val="0"/>
          <w:sz w:val="30"/>
          <w:szCs w:val="30"/>
        </w:rPr>
        <w:t>主要用于工资福利支出122.75万元，商品和服务支出19万元，对个人和家庭补助支出53.22万</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7. 医疗卫生与计划生育（类）支出</w:t>
      </w:r>
      <w:r>
        <w:rPr>
          <w:rFonts w:hint="eastAsia" w:ascii="仿宋_GB2312" w:eastAsia="仿宋_GB2312"/>
          <w:sz w:val="30"/>
          <w:szCs w:val="30"/>
        </w:rPr>
        <w:t>58.87</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占一般公共预算财政拨款总支出的2%。</w:t>
      </w:r>
      <w:r>
        <w:rPr>
          <w:rFonts w:hint="eastAsia" w:ascii="仿宋_GB2312" w:hAnsi="宋体" w:eastAsia="仿宋_GB2312" w:cs="Arial"/>
          <w:kern w:val="0"/>
          <w:sz w:val="30"/>
          <w:szCs w:val="30"/>
        </w:rPr>
        <w:t>主要用于工资福利支出19.17万元，商品和服务支出17.77万元，对个人和家庭补助支出21.93万；</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8.节能环保（类）支出</w:t>
      </w:r>
      <w:r>
        <w:rPr>
          <w:rFonts w:hint="eastAsia" w:ascii="仿宋_GB2312" w:eastAsia="仿宋_GB2312"/>
          <w:sz w:val="30"/>
          <w:szCs w:val="30"/>
        </w:rPr>
        <w:t>15</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占一般公共预算财政拨款总支出的0.54%。</w:t>
      </w:r>
      <w:r>
        <w:rPr>
          <w:rFonts w:hint="eastAsia" w:ascii="仿宋_GB2312" w:hAnsi="宋体" w:eastAsia="仿宋_GB2312" w:cs="Arial"/>
          <w:kern w:val="0"/>
          <w:sz w:val="30"/>
          <w:szCs w:val="30"/>
        </w:rPr>
        <w:t>主要用于其他资本性支出修缮费15万元；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9. 城乡社区（类）支出</w:t>
      </w:r>
      <w:r>
        <w:rPr>
          <w:rFonts w:hint="eastAsia" w:ascii="仿宋_GB2312" w:eastAsia="仿宋_GB2312"/>
          <w:sz w:val="30"/>
          <w:szCs w:val="30"/>
        </w:rPr>
        <w:t>4.34</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占一般公共预算财政拨款总支出的0.02%。</w:t>
      </w:r>
      <w:r>
        <w:rPr>
          <w:rFonts w:hint="eastAsia" w:ascii="仿宋_GB2312" w:hAnsi="宋体" w:eastAsia="仿宋_GB2312" w:cs="Arial"/>
          <w:kern w:val="0"/>
          <w:sz w:val="30"/>
          <w:szCs w:val="30"/>
        </w:rPr>
        <w:t>主要用于商品和服务支出4.34万元；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10.农林水（类）支出</w:t>
      </w:r>
      <w:r>
        <w:rPr>
          <w:rFonts w:hint="eastAsia" w:ascii="仿宋_GB2312" w:eastAsia="仿宋_GB2312"/>
          <w:sz w:val="30"/>
          <w:szCs w:val="30"/>
        </w:rPr>
        <w:t>1014.13</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占一般公共预算财政拨款总支出的36.4%。</w:t>
      </w:r>
      <w:r>
        <w:rPr>
          <w:rFonts w:hint="eastAsia" w:ascii="仿宋_GB2312" w:hAnsi="宋体" w:eastAsia="仿宋_GB2312" w:cs="Arial"/>
          <w:kern w:val="0"/>
          <w:sz w:val="30"/>
          <w:szCs w:val="30"/>
        </w:rPr>
        <w:t>主要用于工资福利支出253.88万元，商品和服务支出95.91万元，对个人和家庭补助支出134.49万元，其他资本性支出基础设施建设529.85万元；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10.资源勘探信息（类）支出</w:t>
      </w:r>
      <w:r>
        <w:rPr>
          <w:rFonts w:hint="eastAsia" w:ascii="仿宋_GB2312" w:eastAsia="仿宋_GB2312"/>
          <w:sz w:val="30"/>
          <w:szCs w:val="30"/>
        </w:rPr>
        <w:t>2.54</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占一般公共预算财政拨款总支出的0.01%。</w:t>
      </w:r>
      <w:r>
        <w:rPr>
          <w:rFonts w:hint="eastAsia" w:ascii="仿宋_GB2312" w:hAnsi="宋体" w:eastAsia="仿宋_GB2312" w:cs="Arial"/>
          <w:kern w:val="0"/>
          <w:sz w:val="30"/>
          <w:szCs w:val="30"/>
        </w:rPr>
        <w:t>主要用于商品和服务支出2.54万元，</w:t>
      </w:r>
      <w:r>
        <w:rPr>
          <w:rFonts w:ascii="仿宋_GB2312" w:hAnsi="宋体" w:eastAsia="仿宋_GB2312" w:cs="Arial"/>
          <w:kern w:val="0"/>
          <w:sz w:val="30"/>
          <w:szCs w:val="30"/>
        </w:rPr>
        <w:t xml:space="preserve"> </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11.商业服务业（类）支出</w:t>
      </w:r>
      <w:r>
        <w:rPr>
          <w:rFonts w:hint="eastAsia" w:ascii="仿宋_GB2312" w:eastAsia="仿宋_GB2312"/>
          <w:sz w:val="30"/>
          <w:szCs w:val="30"/>
        </w:rPr>
        <w:t>10</w:t>
      </w:r>
      <w:r>
        <w:rPr>
          <w:rFonts w:hint="eastAsia" w:ascii="仿宋_GB2312" w:hAnsi="宋体" w:eastAsia="仿宋_GB2312" w:cs="Arial"/>
          <w:kern w:val="0"/>
          <w:sz w:val="30"/>
          <w:szCs w:val="30"/>
        </w:rPr>
        <w:t>万元，</w:t>
      </w:r>
      <w:r>
        <w:rPr>
          <w:rFonts w:hint="eastAsia" w:ascii="仿宋_GB2312" w:eastAsia="仿宋_GB2312"/>
          <w:sz w:val="30"/>
          <w:szCs w:val="30"/>
        </w:rPr>
        <w:t>占一般公共预算财政拨款总支出的0.03%。</w:t>
      </w:r>
      <w:r>
        <w:rPr>
          <w:rFonts w:hint="eastAsia" w:ascii="仿宋_GB2312" w:hAnsi="宋体" w:eastAsia="仿宋_GB2312" w:cs="Arial"/>
          <w:kern w:val="0"/>
          <w:sz w:val="30"/>
          <w:szCs w:val="30"/>
        </w:rPr>
        <w:t>主要用于商品和服务支出10万元，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r>
        <w:rPr>
          <w:rFonts w:hint="eastAsia" w:ascii="仿宋_GB2312" w:hAnsi="宋体" w:eastAsia="仿宋_GB2312" w:cs="Arial"/>
          <w:kern w:val="0"/>
          <w:sz w:val="30"/>
          <w:szCs w:val="30"/>
        </w:rPr>
        <w:t xml:space="preserve"> 12.住房保障（类）支出58.40万元，</w:t>
      </w:r>
      <w:r>
        <w:rPr>
          <w:rFonts w:hint="eastAsia" w:ascii="仿宋_GB2312" w:eastAsia="仿宋_GB2312"/>
          <w:sz w:val="30"/>
          <w:szCs w:val="30"/>
        </w:rPr>
        <w:t>占一般公共预算财政拨款总支出的2%。</w:t>
      </w:r>
      <w:r>
        <w:rPr>
          <w:rFonts w:hint="eastAsia" w:ascii="仿宋_GB2312" w:hAnsi="宋体" w:eastAsia="仿宋_GB2312" w:cs="Arial"/>
          <w:kern w:val="0"/>
          <w:sz w:val="30"/>
          <w:szCs w:val="30"/>
        </w:rPr>
        <w:t>主要用于个人和家庭补助支出58.41万元，</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hAnsi="宋体" w:eastAsia="仿宋_GB2312" w:cs="Arial"/>
          <w:kern w:val="0"/>
          <w:sz w:val="30"/>
          <w:szCs w:val="30"/>
        </w:rPr>
      </w:pP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黑体" w:hAnsi="黑体" w:eastAsia="黑体"/>
          <w:sz w:val="30"/>
          <w:szCs w:val="30"/>
        </w:rPr>
      </w:pPr>
      <w:r>
        <w:rPr>
          <w:rFonts w:hint="eastAsia" w:ascii="黑体" w:hAnsi="黑体" w:eastAsia="黑体"/>
          <w:sz w:val="30"/>
          <w:szCs w:val="30"/>
        </w:rPr>
        <w:t>四、一般公共预算财政拨款“三公”经费支出决算情况说明</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楷体" w:hAnsi="楷体" w:eastAsia="楷体"/>
          <w:sz w:val="30"/>
          <w:szCs w:val="30"/>
        </w:rPr>
      </w:pPr>
      <w:r>
        <w:rPr>
          <w:rFonts w:hint="eastAsia" w:ascii="楷体" w:hAnsi="楷体" w:eastAsia="楷体"/>
          <w:sz w:val="30"/>
          <w:szCs w:val="30"/>
        </w:rPr>
        <w:t>(一)</w:t>
      </w:r>
      <w:r>
        <w:rPr>
          <w:rFonts w:hint="eastAsia" w:ascii="黑体" w:hAnsi="黑体" w:eastAsia="黑体"/>
          <w:sz w:val="30"/>
          <w:szCs w:val="30"/>
        </w:rPr>
        <w:t xml:space="preserve"> </w:t>
      </w:r>
      <w:r>
        <w:rPr>
          <w:rFonts w:hint="eastAsia" w:ascii="楷体" w:hAnsi="楷体" w:eastAsia="楷体"/>
          <w:sz w:val="30"/>
          <w:szCs w:val="30"/>
        </w:rPr>
        <w:t>一般公共预算财政拨款“三公”经费支出决算总体情况</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弄璋镇人民政府2017年度一般公共预算财政拨款“三公”经费支出预算为</w:t>
      </w:r>
      <w:r>
        <w:rPr>
          <w:rFonts w:hint="eastAsia" w:ascii="仿宋_GB2312" w:hAnsi="仿宋" w:eastAsia="仿宋_GB2312" w:cs="仿宋"/>
          <w:color w:val="000000"/>
          <w:sz w:val="32"/>
          <w:szCs w:val="32"/>
        </w:rPr>
        <w:t>37</w:t>
      </w:r>
      <w:r>
        <w:rPr>
          <w:rFonts w:hint="eastAsia" w:ascii="仿宋_GB2312" w:eastAsia="仿宋_GB2312"/>
          <w:sz w:val="30"/>
          <w:szCs w:val="30"/>
        </w:rPr>
        <w:t>万元，支出决算为</w:t>
      </w:r>
      <w:r>
        <w:rPr>
          <w:rFonts w:hint="eastAsia" w:ascii="仿宋_GB2312" w:hAnsi="仿宋" w:eastAsia="仿宋_GB2312" w:cs="仿宋"/>
          <w:color w:val="000000"/>
          <w:sz w:val="32"/>
          <w:szCs w:val="32"/>
        </w:rPr>
        <w:t>27.09</w:t>
      </w:r>
      <w:r>
        <w:rPr>
          <w:rFonts w:hint="eastAsia" w:ascii="仿宋_GB2312" w:eastAsia="仿宋_GB2312"/>
          <w:sz w:val="30"/>
          <w:szCs w:val="30"/>
        </w:rPr>
        <w:t>万元，完成预算的73%。其中：因公出国（境）费支出决算为0万元，完成预算的0%；公务用车购置及运行费支出决算为</w:t>
      </w:r>
      <w:r>
        <w:rPr>
          <w:rFonts w:hint="eastAsia" w:ascii="仿宋_GB2312" w:hAnsi="仿宋" w:eastAsia="仿宋_GB2312" w:cs="仿宋"/>
          <w:color w:val="000000"/>
          <w:sz w:val="32"/>
          <w:szCs w:val="32"/>
        </w:rPr>
        <w:t>16.47</w:t>
      </w:r>
      <w:r>
        <w:rPr>
          <w:rFonts w:hint="eastAsia" w:ascii="仿宋_GB2312" w:eastAsia="仿宋_GB2312"/>
          <w:sz w:val="30"/>
          <w:szCs w:val="30"/>
        </w:rPr>
        <w:t>万元，完成预算的82.4%；公务接待费支出决算为10.62万元，完成预算的62.47%。2017年度一般公共预算财政拨款“三公”经费支出决算数小于预算数9.91万元，主要原因严格遵按照厉行节约制度，从严控制和压缩“三公经费”支出。</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eastAsia="仿宋_GB2312"/>
          <w:color w:val="FF0000"/>
          <w:sz w:val="30"/>
          <w:szCs w:val="30"/>
        </w:rPr>
      </w:pPr>
      <w:r>
        <w:rPr>
          <w:rFonts w:hint="eastAsia" w:ascii="仿宋_GB2312" w:eastAsia="仿宋_GB2312"/>
          <w:sz w:val="30"/>
          <w:szCs w:val="30"/>
        </w:rPr>
        <w:t>2017年度一般公共预算财政拨款“三公”经费支出决算数比2016年减少11.31万元，下降29%。其中：因公出国（境）费支出决算为0万元， 无增无减0%；公务用车购置及运行费支出决算减少4.79万元，下降23%；公务接待费支出决算减少6.51万元，下降38%。2017年度一般公共预算财政拨款“三公”经费支出决算减少的主要原因严格遵按照厉行节约制度，从严控制和压缩“三公经费”支出。</w:t>
      </w:r>
    </w:p>
    <w:p>
      <w:pPr>
        <w:keepNext w:val="0"/>
        <w:keepLines w:val="0"/>
        <w:pageBreakBefore w:val="0"/>
        <w:widowControl/>
        <w:kinsoku/>
        <w:wordWrap/>
        <w:overflowPunct/>
        <w:topLinePunct w:val="0"/>
        <w:autoSpaceDE/>
        <w:autoSpaceDN/>
        <w:bidi w:val="0"/>
        <w:snapToGrid w:val="0"/>
        <w:spacing w:before="100" w:after="100" w:line="560" w:lineRule="exact"/>
        <w:ind w:firstLine="602" w:firstLineChars="200"/>
        <w:jc w:val="left"/>
        <w:rPr>
          <w:rFonts w:ascii="仿宋_GB2312" w:eastAsia="仿宋_GB2312"/>
          <w:sz w:val="30"/>
          <w:szCs w:val="30"/>
        </w:rPr>
      </w:pPr>
      <w:r>
        <w:rPr>
          <w:rFonts w:hint="eastAsia" w:ascii="楷体" w:hAnsi="楷体" w:eastAsia="楷体"/>
          <w:b/>
          <w:sz w:val="30"/>
          <w:szCs w:val="30"/>
        </w:rPr>
        <w:t>(二)</w:t>
      </w:r>
      <w:r>
        <w:rPr>
          <w:rFonts w:hint="eastAsia" w:ascii="仿宋_GB2312" w:eastAsia="仿宋_GB2312"/>
          <w:b/>
          <w:sz w:val="30"/>
          <w:szCs w:val="30"/>
        </w:rPr>
        <w:t xml:space="preserve"> </w:t>
      </w:r>
      <w:r>
        <w:rPr>
          <w:rFonts w:hint="eastAsia" w:ascii="楷体" w:hAnsi="楷体" w:eastAsia="楷体"/>
          <w:b/>
          <w:sz w:val="30"/>
          <w:szCs w:val="30"/>
        </w:rPr>
        <w:t>一般公共预算财政拨款“三公”经费支出决算具体情况</w:t>
      </w:r>
      <w:r>
        <w:rPr>
          <w:rFonts w:hint="eastAsia" w:ascii="仿宋_GB2312" w:eastAsia="仿宋_GB2312"/>
          <w:sz w:val="30"/>
          <w:szCs w:val="30"/>
        </w:rPr>
        <w:t>2017年度一般公共预算财政拨款“三公”经费支出决算中，因公出国（境）费支出0万元；公务用车购置及运行维护费支出16.47万元，占61%；公务接待费支出10.62万元，占39%。具体情况如下：</w:t>
      </w:r>
    </w:p>
    <w:p>
      <w:pPr>
        <w:keepNext w:val="0"/>
        <w:keepLines w:val="0"/>
        <w:pageBreakBefore w:val="0"/>
        <w:widowControl/>
        <w:kinsoku/>
        <w:wordWrap/>
        <w:overflowPunct/>
        <w:topLinePunct w:val="0"/>
        <w:autoSpaceDE/>
        <w:autoSpaceDN/>
        <w:bidi w:val="0"/>
        <w:snapToGrid w:val="0"/>
        <w:spacing w:before="100" w:after="100" w:line="560" w:lineRule="exact"/>
        <w:ind w:firstLine="602" w:firstLineChars="200"/>
        <w:jc w:val="left"/>
        <w:rPr>
          <w:rFonts w:ascii="仿宋_GB2312" w:eastAsia="仿宋_GB2312"/>
          <w:sz w:val="30"/>
          <w:szCs w:val="30"/>
        </w:rPr>
      </w:pPr>
      <w:r>
        <w:rPr>
          <w:rFonts w:hint="eastAsia" w:ascii="仿宋_GB2312" w:eastAsia="仿宋_GB2312"/>
          <w:b/>
          <w:sz w:val="30"/>
          <w:szCs w:val="30"/>
        </w:rPr>
        <w:t>1.因公出国（境）费</w:t>
      </w:r>
      <w:r>
        <w:rPr>
          <w:rFonts w:hint="eastAsia" w:ascii="仿宋_GB2312" w:eastAsia="仿宋_GB2312"/>
          <w:sz w:val="30"/>
          <w:szCs w:val="30"/>
        </w:rPr>
        <w:t>支出0万元。</w:t>
      </w:r>
    </w:p>
    <w:p>
      <w:pPr>
        <w:keepNext w:val="0"/>
        <w:keepLines w:val="0"/>
        <w:pageBreakBefore w:val="0"/>
        <w:widowControl/>
        <w:kinsoku/>
        <w:wordWrap/>
        <w:overflowPunct/>
        <w:topLinePunct w:val="0"/>
        <w:autoSpaceDE/>
        <w:autoSpaceDN/>
        <w:bidi w:val="0"/>
        <w:snapToGrid w:val="0"/>
        <w:spacing w:before="100" w:after="100" w:line="560" w:lineRule="exact"/>
        <w:ind w:firstLine="602" w:firstLineChars="200"/>
        <w:jc w:val="left"/>
        <w:rPr>
          <w:rFonts w:ascii="仿宋_GB2312" w:eastAsia="仿宋_GB2312"/>
          <w:sz w:val="30"/>
          <w:szCs w:val="30"/>
        </w:rPr>
      </w:pPr>
      <w:r>
        <w:rPr>
          <w:rFonts w:hint="eastAsia" w:ascii="仿宋_GB2312" w:eastAsia="仿宋_GB2312"/>
          <w:b/>
          <w:sz w:val="30"/>
          <w:szCs w:val="30"/>
        </w:rPr>
        <w:t>2.公务用车购置及运行维护费</w:t>
      </w:r>
      <w:r>
        <w:rPr>
          <w:rFonts w:hint="eastAsia" w:ascii="仿宋_GB2312" w:eastAsia="仿宋_GB2312"/>
          <w:sz w:val="30"/>
          <w:szCs w:val="30"/>
        </w:rPr>
        <w:t>支出16.47万元。其中：</w:t>
      </w:r>
    </w:p>
    <w:p>
      <w:pPr>
        <w:keepNext w:val="0"/>
        <w:keepLines w:val="0"/>
        <w:pageBreakBefore w:val="0"/>
        <w:widowControl/>
        <w:kinsoku/>
        <w:wordWrap/>
        <w:overflowPunct/>
        <w:topLinePunct w:val="0"/>
        <w:autoSpaceDE/>
        <w:autoSpaceDN/>
        <w:bidi w:val="0"/>
        <w:snapToGrid w:val="0"/>
        <w:spacing w:before="100" w:after="100" w:line="560" w:lineRule="exact"/>
        <w:ind w:firstLine="602" w:firstLineChars="200"/>
        <w:jc w:val="left"/>
        <w:rPr>
          <w:rFonts w:ascii="仿宋_GB2312" w:eastAsia="仿宋_GB2312"/>
          <w:sz w:val="30"/>
          <w:szCs w:val="30"/>
        </w:rPr>
      </w:pPr>
      <w:r>
        <w:rPr>
          <w:rFonts w:hint="eastAsia" w:ascii="仿宋_GB2312" w:eastAsia="仿宋_GB2312"/>
          <w:b/>
          <w:sz w:val="30"/>
          <w:szCs w:val="30"/>
        </w:rPr>
        <w:t>公务用车购置费</w:t>
      </w:r>
      <w:r>
        <w:rPr>
          <w:rFonts w:hint="eastAsia" w:ascii="仿宋_GB2312" w:eastAsia="仿宋_GB2312"/>
          <w:sz w:val="30"/>
          <w:szCs w:val="30"/>
        </w:rPr>
        <w:t>支出0万元。</w:t>
      </w:r>
    </w:p>
    <w:p>
      <w:pPr>
        <w:keepNext w:val="0"/>
        <w:keepLines w:val="0"/>
        <w:pageBreakBefore w:val="0"/>
        <w:widowControl/>
        <w:kinsoku/>
        <w:wordWrap/>
        <w:overflowPunct/>
        <w:topLinePunct w:val="0"/>
        <w:autoSpaceDE/>
        <w:autoSpaceDN/>
        <w:bidi w:val="0"/>
        <w:snapToGrid w:val="0"/>
        <w:spacing w:before="100" w:after="100" w:line="560" w:lineRule="exact"/>
        <w:ind w:firstLine="602" w:firstLineChars="200"/>
        <w:jc w:val="left"/>
        <w:rPr>
          <w:rFonts w:ascii="仿宋_GB2312" w:eastAsia="仿宋_GB2312"/>
          <w:sz w:val="30"/>
          <w:szCs w:val="30"/>
        </w:rPr>
      </w:pPr>
      <w:r>
        <w:rPr>
          <w:rFonts w:hint="eastAsia" w:ascii="仿宋_GB2312" w:eastAsia="仿宋_GB2312"/>
          <w:b/>
          <w:sz w:val="30"/>
          <w:szCs w:val="30"/>
        </w:rPr>
        <w:t>公务用车运行维护</w:t>
      </w:r>
      <w:r>
        <w:rPr>
          <w:rFonts w:hint="eastAsia" w:ascii="仿宋_GB2312" w:eastAsia="仿宋_GB2312"/>
          <w:sz w:val="30"/>
          <w:szCs w:val="30"/>
        </w:rPr>
        <w:t>支出16.47万元，开支一般公共预算财政拨款的公务用车保有量为4辆。主要用于党建工作、脱贫攻坚工作、万塔小镇征地、两违建筑拆除工作，腾陇高速公路征迁工作、项目建设等所需车辆燃料费、维修费、过路过桥费、保险费等。</w:t>
      </w:r>
    </w:p>
    <w:p>
      <w:pPr>
        <w:keepNext w:val="0"/>
        <w:keepLines w:val="0"/>
        <w:pageBreakBefore w:val="0"/>
        <w:widowControl/>
        <w:kinsoku/>
        <w:wordWrap/>
        <w:overflowPunct/>
        <w:topLinePunct w:val="0"/>
        <w:autoSpaceDE/>
        <w:autoSpaceDN/>
        <w:bidi w:val="0"/>
        <w:snapToGrid w:val="0"/>
        <w:spacing w:before="100" w:after="100" w:line="560" w:lineRule="exact"/>
        <w:ind w:firstLine="602" w:firstLineChars="200"/>
        <w:jc w:val="left"/>
        <w:rPr>
          <w:rFonts w:ascii="仿宋_GB2312" w:eastAsia="仿宋_GB2312"/>
          <w:sz w:val="30"/>
          <w:szCs w:val="30"/>
        </w:rPr>
      </w:pPr>
      <w:r>
        <w:rPr>
          <w:rFonts w:hint="eastAsia" w:ascii="仿宋_GB2312" w:eastAsia="仿宋_GB2312"/>
          <w:b/>
          <w:sz w:val="30"/>
          <w:szCs w:val="30"/>
        </w:rPr>
        <w:t>3.公务接待费</w:t>
      </w:r>
      <w:r>
        <w:rPr>
          <w:rFonts w:hint="eastAsia" w:ascii="仿宋_GB2312" w:eastAsia="仿宋_GB2312"/>
          <w:sz w:val="30"/>
          <w:szCs w:val="30"/>
        </w:rPr>
        <w:t>支出10.62万元，其中：</w:t>
      </w:r>
    </w:p>
    <w:p>
      <w:pPr>
        <w:keepNext w:val="0"/>
        <w:keepLines w:val="0"/>
        <w:pageBreakBefore w:val="0"/>
        <w:kinsoku/>
        <w:wordWrap/>
        <w:overflowPunct/>
        <w:topLinePunct w:val="0"/>
        <w:autoSpaceDE/>
        <w:autoSpaceDN/>
        <w:bidi w:val="0"/>
        <w:spacing w:line="560" w:lineRule="exact"/>
        <w:ind w:firstLine="602" w:firstLineChars="200"/>
        <w:jc w:val="left"/>
        <w:rPr>
          <w:rFonts w:ascii="仿宋_GB2312" w:eastAsia="仿宋_GB2312"/>
          <w:color w:val="000000" w:themeColor="text1"/>
          <w:sz w:val="30"/>
          <w:szCs w:val="30"/>
        </w:rPr>
      </w:pPr>
      <w:r>
        <w:rPr>
          <w:rFonts w:hint="eastAsia" w:ascii="仿宋_GB2312" w:eastAsia="仿宋_GB2312"/>
          <w:b/>
          <w:sz w:val="30"/>
          <w:szCs w:val="30"/>
        </w:rPr>
        <w:t>国内接待费</w:t>
      </w:r>
      <w:r>
        <w:rPr>
          <w:rFonts w:hint="eastAsia" w:ascii="仿宋_GB2312" w:eastAsia="仿宋_GB2312"/>
          <w:sz w:val="30"/>
          <w:szCs w:val="30"/>
        </w:rPr>
        <w:t>支出10.62万元（其中：外事接待费支出0万元），共安排国内公务接待</w:t>
      </w:r>
      <w:r>
        <w:rPr>
          <w:rFonts w:hint="eastAsia" w:ascii="仿宋_GB2312" w:eastAsia="仿宋_GB2312"/>
          <w:color w:val="000000" w:themeColor="text1"/>
          <w:sz w:val="30"/>
          <w:szCs w:val="30"/>
        </w:rPr>
        <w:t>163批次（其中：外事接待费支出0批次），接待人次2015人（其中：外事接待费支出0人次）</w:t>
      </w:r>
    </w:p>
    <w:p>
      <w:pPr>
        <w:keepNext w:val="0"/>
        <w:keepLines w:val="0"/>
        <w:pageBreakBefore w:val="0"/>
        <w:widowControl/>
        <w:kinsoku/>
        <w:wordWrap/>
        <w:overflowPunct/>
        <w:topLinePunct w:val="0"/>
        <w:autoSpaceDE/>
        <w:autoSpaceDN/>
        <w:bidi w:val="0"/>
        <w:snapToGrid w:val="0"/>
        <w:spacing w:before="100" w:after="100" w:line="560" w:lineRule="exact"/>
        <w:ind w:firstLine="600" w:firstLineChars="200"/>
        <w:jc w:val="left"/>
        <w:rPr>
          <w:rFonts w:ascii="仿宋_GB2312" w:eastAsia="仿宋_GB2312"/>
          <w:sz w:val="30"/>
          <w:szCs w:val="30"/>
        </w:rPr>
      </w:pPr>
      <w:r>
        <w:rPr>
          <w:rFonts w:hint="eastAsia" w:ascii="黑体" w:hAnsi="黑体" w:eastAsia="黑体"/>
          <w:sz w:val="30"/>
          <w:szCs w:val="30"/>
        </w:rPr>
        <w:t>五、其他重要事项及相关口径情况说明</w:t>
      </w:r>
    </w:p>
    <w:p>
      <w:pPr>
        <w:keepNext w:val="0"/>
        <w:keepLines w:val="0"/>
        <w:pageBreakBefore w:val="0"/>
        <w:kinsoku/>
        <w:wordWrap/>
        <w:overflowPunct/>
        <w:topLinePunct w:val="0"/>
        <w:autoSpaceDE/>
        <w:autoSpaceDN/>
        <w:bidi w:val="0"/>
        <w:spacing w:line="560" w:lineRule="exact"/>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(一)机关运行经费支出情况</w:t>
      </w:r>
    </w:p>
    <w:p>
      <w:pPr>
        <w:keepNext w:val="0"/>
        <w:keepLines w:val="0"/>
        <w:pageBreakBefore w:val="0"/>
        <w:kinsoku/>
        <w:wordWrap/>
        <w:overflowPunct/>
        <w:topLinePunct w:val="0"/>
        <w:autoSpaceDE/>
        <w:autoSpaceDN/>
        <w:bidi w:val="0"/>
        <w:spacing w:line="560" w:lineRule="exact"/>
        <w:ind w:firstLine="600" w:firstLineChars="200"/>
        <w:jc w:val="left"/>
        <w:rPr>
          <w:rFonts w:ascii="仿宋_GB2312" w:hAnsi="黑体" w:eastAsia="仿宋_GB2312" w:cs="方正小标宋简体"/>
          <w:color w:val="000000" w:themeColor="text1"/>
          <w:sz w:val="30"/>
          <w:szCs w:val="30"/>
        </w:rPr>
      </w:pPr>
      <w:r>
        <w:rPr>
          <w:rFonts w:hint="eastAsia" w:ascii="仿宋_GB2312" w:hAnsi="黑体" w:eastAsia="仿宋_GB2312" w:cs="方正小标宋简体"/>
          <w:sz w:val="30"/>
          <w:szCs w:val="30"/>
        </w:rPr>
        <w:t>弄璋镇2017年机关运行经费支出241.14万元，与上年247.33万元对比减少6.19万元,主要原因分析严格遵守厉行节约制度，严格控制会议次数及标准，部门机关运行经费主要用于</w:t>
      </w:r>
      <w:r>
        <w:rPr>
          <w:rFonts w:hint="eastAsia" w:ascii="仿宋_GB2312" w:eastAsia="仿宋_GB2312"/>
          <w:sz w:val="30"/>
          <w:szCs w:val="30"/>
        </w:rPr>
        <w:t>党建工作、脱贫攻坚工作、万塔小镇征地、两违建筑拆除工作，腾陇高速公路征迁工作、项目建设等</w:t>
      </w:r>
      <w:r>
        <w:rPr>
          <w:rFonts w:hint="eastAsia" w:ascii="仿宋_GB2312" w:hAnsi="黑体" w:eastAsia="仿宋_GB2312" w:cs="方正小标宋简体"/>
          <w:sz w:val="30"/>
          <w:szCs w:val="30"/>
        </w:rPr>
        <w:t>。主</w:t>
      </w:r>
      <w:r>
        <w:rPr>
          <w:rFonts w:hint="eastAsia" w:ascii="仿宋_GB2312" w:hAnsi="黑体" w:eastAsia="仿宋_GB2312" w:cs="方正小标宋简体"/>
          <w:color w:val="000000" w:themeColor="text1"/>
          <w:sz w:val="30"/>
          <w:szCs w:val="30"/>
        </w:rPr>
        <w:t>要用于为维持政府机关事业单位机构运转而产生的办公费、会议费、差旅费、车辆燃修费等日常公用支出。</w:t>
      </w:r>
    </w:p>
    <w:p>
      <w:pPr>
        <w:keepNext w:val="0"/>
        <w:keepLines w:val="0"/>
        <w:pageBreakBefore w:val="0"/>
        <w:kinsoku/>
        <w:wordWrap/>
        <w:overflowPunct/>
        <w:topLinePunct w:val="0"/>
        <w:autoSpaceDE/>
        <w:autoSpaceDN/>
        <w:bidi w:val="0"/>
        <w:spacing w:line="560" w:lineRule="exact"/>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（二）国有资产占用情况</w:t>
      </w:r>
    </w:p>
    <w:p>
      <w:pPr>
        <w:keepNext w:val="0"/>
        <w:keepLines w:val="0"/>
        <w:pageBreakBefore w:val="0"/>
        <w:kinsoku/>
        <w:wordWrap/>
        <w:overflowPunct/>
        <w:topLinePunct w:val="0"/>
        <w:autoSpaceDE/>
        <w:autoSpaceDN/>
        <w:bidi w:val="0"/>
        <w:spacing w:line="560" w:lineRule="exact"/>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截至2017年12月31日，弄璋镇资产总额11797.24万元，其中，流动资产11201.03万元，固定资产361.91万元，对外投资及有价证券0万元，在建工程234.3万元，无形资产0万元，与上年10924.85万元相比，本年资产总额增加872.39万元，其中：流动资产增加784.69万元；固定资产减少146.6万元。处置房屋建筑物6280平方米，账面原值177.3万元；处置车辆1辆，账面原值0.35元；报废报损资产0项，账面原值0万元，实现资产处置收入0万元；出租房屋0平方米，账面原值0万元，实现资产使用收入0万元。</w:t>
      </w:r>
    </w:p>
    <w:tbl>
      <w:tblPr>
        <w:tblStyle w:val="5"/>
        <w:tblpPr w:leftFromText="180" w:rightFromText="180" w:topFromText="100" w:bottomFromText="100" w:vertAnchor="text" w:horzAnchor="page" w:tblpX="407" w:tblpY="490"/>
        <w:tblOverlap w:val="never"/>
        <w:tblW w:w="10897" w:type="dxa"/>
        <w:tblInd w:w="0" w:type="dxa"/>
        <w:tblLayout w:type="fixed"/>
        <w:tblCellMar>
          <w:top w:w="0" w:type="dxa"/>
          <w:left w:w="0" w:type="dxa"/>
          <w:bottom w:w="0" w:type="dxa"/>
          <w:right w:w="0" w:type="dxa"/>
        </w:tblCellMar>
      </w:tblPr>
      <w:tblGrid>
        <w:gridCol w:w="842"/>
        <w:gridCol w:w="546"/>
        <w:gridCol w:w="895"/>
        <w:gridCol w:w="709"/>
        <w:gridCol w:w="851"/>
        <w:gridCol w:w="964"/>
        <w:gridCol w:w="28"/>
        <w:gridCol w:w="709"/>
        <w:gridCol w:w="128"/>
        <w:gridCol w:w="580"/>
        <w:gridCol w:w="394"/>
        <w:gridCol w:w="599"/>
        <w:gridCol w:w="850"/>
        <w:gridCol w:w="851"/>
        <w:gridCol w:w="213"/>
        <w:gridCol w:w="618"/>
        <w:gridCol w:w="161"/>
        <w:gridCol w:w="199"/>
        <w:gridCol w:w="142"/>
        <w:gridCol w:w="618"/>
      </w:tblGrid>
      <w:tr>
        <w:tblPrEx>
          <w:tblCellMar>
            <w:top w:w="0" w:type="dxa"/>
            <w:left w:w="0" w:type="dxa"/>
            <w:bottom w:w="0" w:type="dxa"/>
            <w:right w:w="0" w:type="dxa"/>
          </w:tblCellMar>
        </w:tblPrEx>
        <w:trPr>
          <w:trHeight w:val="495" w:hRule="atLeast"/>
        </w:trPr>
        <w:tc>
          <w:tcPr>
            <w:tcW w:w="10897" w:type="dxa"/>
            <w:gridSpan w:val="20"/>
            <w:tcBorders>
              <w:top w:val="nil"/>
              <w:left w:val="nil"/>
              <w:bottom w:val="nil"/>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602" w:firstLineChars="200"/>
              <w:jc w:val="center"/>
              <w:textAlignment w:val="center"/>
              <w:rPr>
                <w:rFonts w:ascii="宋体" w:hAnsi="宋体" w:cs="宋体"/>
                <w:color w:val="000000"/>
                <w:kern w:val="0"/>
                <w:sz w:val="24"/>
              </w:rPr>
            </w:pPr>
            <w:r>
              <w:rPr>
                <w:rFonts w:hint="eastAsia" w:ascii="仿宋_GB2312" w:hAnsi="方正小标宋_GBK" w:eastAsia="仿宋_GB2312" w:cs="方正小标宋_GBK"/>
                <w:b/>
                <w:color w:val="000000"/>
                <w:kern w:val="0"/>
                <w:sz w:val="30"/>
                <w:szCs w:val="30"/>
              </w:rPr>
              <w:t>国有资产占有使用情况表</w:t>
            </w:r>
          </w:p>
        </w:tc>
      </w:tr>
      <w:tr>
        <w:tblPrEx>
          <w:tblCellMar>
            <w:top w:w="0" w:type="dxa"/>
            <w:left w:w="0" w:type="dxa"/>
            <w:bottom w:w="0" w:type="dxa"/>
            <w:right w:w="0" w:type="dxa"/>
          </w:tblCellMar>
        </w:tblPrEx>
        <w:trPr>
          <w:trHeight w:val="347" w:hRule="atLeast"/>
        </w:trPr>
        <w:tc>
          <w:tcPr>
            <w:tcW w:w="4807" w:type="dxa"/>
            <w:gridSpan w:val="6"/>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left"/>
              <w:textAlignment w:val="center"/>
              <w:rPr>
                <w:rFonts w:ascii="宋体" w:hAnsi="宋体" w:cs="宋体"/>
                <w:color w:val="000000"/>
                <w:kern w:val="0"/>
                <w:sz w:val="24"/>
              </w:rPr>
            </w:pPr>
            <w:r>
              <w:rPr>
                <w:rFonts w:hint="eastAsia" w:ascii="宋体" w:hAnsi="宋体" w:cs="宋体"/>
                <w:color w:val="000000"/>
                <w:kern w:val="0"/>
                <w:sz w:val="20"/>
                <w:szCs w:val="20"/>
              </w:rPr>
              <w:t> </w:t>
            </w:r>
          </w:p>
        </w:tc>
        <w:tc>
          <w:tcPr>
            <w:tcW w:w="865" w:type="dxa"/>
            <w:gridSpan w:val="3"/>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hint="eastAsia" w:ascii="宋体" w:hAnsi="宋体" w:cs="宋体"/>
                <w:color w:val="000000"/>
                <w:kern w:val="0"/>
                <w:sz w:val="20"/>
                <w:szCs w:val="20"/>
              </w:rPr>
              <w:t> </w:t>
            </w:r>
          </w:p>
        </w:tc>
        <w:tc>
          <w:tcPr>
            <w:tcW w:w="974" w:type="dxa"/>
            <w:gridSpan w:val="2"/>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hint="eastAsia" w:ascii="宋体" w:hAnsi="宋体" w:cs="宋体"/>
                <w:color w:val="000000"/>
                <w:kern w:val="0"/>
                <w:sz w:val="20"/>
                <w:szCs w:val="20"/>
              </w:rPr>
              <w:t> </w:t>
            </w:r>
          </w:p>
        </w:tc>
        <w:tc>
          <w:tcPr>
            <w:tcW w:w="599"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hint="eastAsia" w:ascii="宋体" w:hAnsi="宋体" w:cs="宋体"/>
                <w:color w:val="000000"/>
                <w:kern w:val="0"/>
                <w:sz w:val="20"/>
                <w:szCs w:val="20"/>
              </w:rPr>
              <w:t> </w:t>
            </w:r>
          </w:p>
        </w:tc>
        <w:tc>
          <w:tcPr>
            <w:tcW w:w="850"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hint="eastAsia" w:ascii="宋体" w:hAnsi="宋体" w:cs="宋体"/>
                <w:color w:val="000000"/>
                <w:kern w:val="0"/>
                <w:sz w:val="20"/>
                <w:szCs w:val="20"/>
              </w:rPr>
              <w:t> </w:t>
            </w:r>
          </w:p>
        </w:tc>
        <w:tc>
          <w:tcPr>
            <w:tcW w:w="851" w:type="dxa"/>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hint="eastAsia" w:ascii="宋体" w:hAnsi="宋体" w:cs="宋体"/>
                <w:color w:val="000000"/>
                <w:kern w:val="0"/>
                <w:sz w:val="20"/>
                <w:szCs w:val="20"/>
              </w:rPr>
              <w:t> </w:t>
            </w:r>
          </w:p>
        </w:tc>
        <w:tc>
          <w:tcPr>
            <w:tcW w:w="1951" w:type="dxa"/>
            <w:gridSpan w:val="6"/>
            <w:tcBorders>
              <w:top w:val="nil"/>
              <w:left w:val="nil"/>
              <w:bottom w:val="single" w:color="808080" w:sz="4" w:space="0"/>
              <w:right w:val="nil"/>
            </w:tcBorders>
            <w:shd w:val="clear" w:color="auto" w:fill="FFFFFF"/>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textAlignment w:val="center"/>
              <w:rPr>
                <w:rFonts w:ascii="宋体" w:hAnsi="宋体" w:cs="宋体"/>
                <w:color w:val="000000"/>
                <w:kern w:val="0"/>
                <w:sz w:val="24"/>
              </w:rPr>
            </w:pPr>
            <w:r>
              <w:rPr>
                <w:rFonts w:hint="eastAsia" w:ascii="宋体" w:hAnsi="宋体" w:cs="宋体"/>
                <w:color w:val="000000"/>
                <w:kern w:val="0"/>
                <w:sz w:val="20"/>
                <w:szCs w:val="20"/>
              </w:rPr>
              <w:t>单位：万元</w:t>
            </w:r>
          </w:p>
        </w:tc>
      </w:tr>
      <w:tr>
        <w:tblPrEx>
          <w:tblCellMar>
            <w:top w:w="0" w:type="dxa"/>
            <w:left w:w="0" w:type="dxa"/>
            <w:bottom w:w="0" w:type="dxa"/>
            <w:right w:w="0" w:type="dxa"/>
          </w:tblCellMar>
        </w:tblPrEx>
        <w:trPr>
          <w:trHeight w:val="415" w:hRule="atLeast"/>
        </w:trPr>
        <w:tc>
          <w:tcPr>
            <w:tcW w:w="8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项目</w:t>
            </w:r>
          </w:p>
        </w:tc>
        <w:tc>
          <w:tcPr>
            <w:tcW w:w="5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行次</w:t>
            </w:r>
          </w:p>
        </w:tc>
        <w:tc>
          <w:tcPr>
            <w:tcW w:w="8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资产总额</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流动资产</w:t>
            </w:r>
          </w:p>
        </w:tc>
        <w:tc>
          <w:tcPr>
            <w:tcW w:w="425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固定资产</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对外投资/有价证券</w:t>
            </w: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在建工程</w:t>
            </w:r>
          </w:p>
        </w:tc>
        <w:tc>
          <w:tcPr>
            <w:tcW w:w="992"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无形资产</w:t>
            </w:r>
          </w:p>
        </w:tc>
        <w:tc>
          <w:tcPr>
            <w:tcW w:w="959"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其他资产</w:t>
            </w:r>
          </w:p>
        </w:tc>
      </w:tr>
      <w:tr>
        <w:tblPrEx>
          <w:tblCellMar>
            <w:top w:w="0" w:type="dxa"/>
            <w:left w:w="0" w:type="dxa"/>
            <w:bottom w:w="0" w:type="dxa"/>
            <w:right w:w="0" w:type="dxa"/>
          </w:tblCellMar>
        </w:tblPrEx>
        <w:trPr>
          <w:trHeight w:val="345" w:hRule="atLeast"/>
        </w:trPr>
        <w:tc>
          <w:tcPr>
            <w:tcW w:w="8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8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8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小计</w:t>
            </w:r>
          </w:p>
        </w:tc>
        <w:tc>
          <w:tcPr>
            <w:tcW w:w="9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房屋构筑物</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车辆</w:t>
            </w:r>
          </w:p>
        </w:tc>
        <w:tc>
          <w:tcPr>
            <w:tcW w:w="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单价200万以上大型设备</w:t>
            </w:r>
          </w:p>
        </w:tc>
        <w:tc>
          <w:tcPr>
            <w:tcW w:w="99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其他固定资产</w:t>
            </w: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992"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959"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r>
      <w:tr>
        <w:tblPrEx>
          <w:tblCellMar>
            <w:top w:w="0" w:type="dxa"/>
            <w:left w:w="0" w:type="dxa"/>
            <w:bottom w:w="0" w:type="dxa"/>
            <w:right w:w="0" w:type="dxa"/>
          </w:tblCellMar>
        </w:tblPrEx>
        <w:trPr>
          <w:trHeight w:val="395" w:hRule="atLeast"/>
        </w:trPr>
        <w:tc>
          <w:tcPr>
            <w:tcW w:w="842"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546"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895"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992"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708"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993" w:type="dxa"/>
            <w:gridSpan w:val="2"/>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85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851"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992"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959" w:type="dxa"/>
            <w:gridSpan w:val="3"/>
            <w:vMerge w:val="continue"/>
            <w:tcBorders>
              <w:top w:val="nil"/>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r>
      <w:tr>
        <w:tblPrEx>
          <w:tblCellMar>
            <w:top w:w="0" w:type="dxa"/>
            <w:left w:w="0" w:type="dxa"/>
            <w:bottom w:w="0" w:type="dxa"/>
            <w:right w:w="0" w:type="dxa"/>
          </w:tblCellMar>
        </w:tblPrEx>
        <w:trPr>
          <w:trHeight w:val="358"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栏次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hint="eastAsia" w:ascii="宋体" w:hAnsi="宋体" w:cs="宋体"/>
                <w:color w:val="000000"/>
                <w:kern w:val="0"/>
                <w:sz w:val="20"/>
                <w:szCs w:val="20"/>
              </w:rPr>
              <w:t> </w:t>
            </w: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1</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2</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3</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4</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5</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6</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8</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9</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10</w:t>
            </w:r>
          </w:p>
        </w:tc>
        <w:tc>
          <w:tcPr>
            <w:tcW w:w="9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11</w:t>
            </w:r>
          </w:p>
        </w:tc>
      </w:tr>
      <w:tr>
        <w:tblPrEx>
          <w:tblCellMar>
            <w:top w:w="0" w:type="dxa"/>
            <w:left w:w="0" w:type="dxa"/>
            <w:bottom w:w="0" w:type="dxa"/>
            <w:right w:w="0" w:type="dxa"/>
          </w:tblCellMar>
        </w:tblPrEx>
        <w:trPr>
          <w:trHeight w:val="563"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合计</w:t>
            </w:r>
          </w:p>
        </w:tc>
        <w:tc>
          <w:tcPr>
            <w:tcW w:w="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center"/>
              <w:textAlignment w:val="center"/>
              <w:rPr>
                <w:rFonts w:ascii="宋体" w:hAnsi="宋体" w:cs="宋体"/>
                <w:color w:val="000000"/>
                <w:kern w:val="0"/>
                <w:sz w:val="24"/>
              </w:rPr>
            </w:pPr>
            <w:r>
              <w:rPr>
                <w:rFonts w:hint="eastAsia" w:ascii="宋体" w:hAnsi="宋体" w:cs="宋体"/>
                <w:color w:val="000000"/>
                <w:kern w:val="0"/>
                <w:sz w:val="20"/>
                <w:szCs w:val="20"/>
              </w:rPr>
              <w:t>1</w:t>
            </w:r>
          </w:p>
        </w:tc>
        <w:tc>
          <w:tcPr>
            <w:tcW w:w="8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11797.2 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11201 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361.9 </w:t>
            </w: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132.3 </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75.5 </w:t>
            </w:r>
          </w:p>
        </w:tc>
        <w:tc>
          <w:tcPr>
            <w:tcW w:w="70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0 </w:t>
            </w:r>
          </w:p>
        </w:tc>
        <w:tc>
          <w:tcPr>
            <w:tcW w:w="99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154.1 </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0 </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234.3 </w:t>
            </w:r>
          </w:p>
        </w:tc>
        <w:tc>
          <w:tcPr>
            <w:tcW w:w="99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0 </w:t>
            </w:r>
          </w:p>
        </w:tc>
        <w:tc>
          <w:tcPr>
            <w:tcW w:w="9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bottom w:w="15" w:type="dxa"/>
              <w:right w:w="15" w:type="dxa"/>
            </w:tcMar>
            <w:vAlign w:val="center"/>
          </w:tcPr>
          <w:p>
            <w:pPr>
              <w:keepNext w:val="0"/>
              <w:keepLines w:val="0"/>
              <w:pageBreakBefore w:val="0"/>
              <w:widowControl/>
              <w:kinsoku/>
              <w:wordWrap/>
              <w:overflowPunct/>
              <w:topLinePunct w:val="0"/>
              <w:autoSpaceDE/>
              <w:autoSpaceDN/>
              <w:bidi w:val="0"/>
              <w:spacing w:line="560" w:lineRule="exact"/>
              <w:ind w:firstLine="400" w:firstLineChars="200"/>
              <w:jc w:val="right"/>
              <w:rPr>
                <w:rFonts w:ascii="宋体" w:hAnsi="宋体" w:cs="宋体"/>
                <w:color w:val="000000"/>
                <w:kern w:val="0"/>
                <w:sz w:val="24"/>
              </w:rPr>
            </w:pPr>
            <w:r>
              <w:rPr>
                <w:rFonts w:hint="eastAsia" w:ascii="宋体" w:hAnsi="宋体" w:cs="宋体"/>
                <w:color w:val="000000"/>
                <w:kern w:val="0"/>
                <w:sz w:val="20"/>
                <w:szCs w:val="20"/>
              </w:rPr>
              <w:t>0 </w:t>
            </w:r>
          </w:p>
        </w:tc>
      </w:tr>
      <w:tr>
        <w:tblPrEx>
          <w:tblCellMar>
            <w:top w:w="0" w:type="dxa"/>
            <w:left w:w="0" w:type="dxa"/>
            <w:bottom w:w="0" w:type="dxa"/>
            <w:right w:w="0" w:type="dxa"/>
          </w:tblCellMar>
        </w:tblPrEx>
        <w:trPr>
          <w:gridAfter w:val="1"/>
          <w:wAfter w:w="618" w:type="dxa"/>
          <w:trHeight w:val="259" w:hRule="atLeast"/>
        </w:trPr>
        <w:tc>
          <w:tcPr>
            <w:tcW w:w="8946" w:type="dxa"/>
            <w:gridSpan w:val="14"/>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ind w:firstLine="480" w:firstLineChars="200"/>
              <w:rPr>
                <w:rFonts w:ascii="宋体" w:hAnsi="宋体" w:cs="宋体"/>
                <w:color w:val="000000"/>
                <w:kern w:val="0"/>
                <w:sz w:val="24"/>
              </w:rPr>
            </w:pPr>
          </w:p>
        </w:tc>
        <w:tc>
          <w:tcPr>
            <w:tcW w:w="213" w:type="dxa"/>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ind w:firstLine="400" w:firstLineChars="200"/>
              <w:rPr>
                <w:rFonts w:ascii="宋体" w:hAnsi="宋体" w:cs="宋体"/>
                <w:color w:val="000000"/>
                <w:kern w:val="0"/>
                <w:sz w:val="20"/>
              </w:rPr>
            </w:pPr>
          </w:p>
        </w:tc>
        <w:tc>
          <w:tcPr>
            <w:tcW w:w="978" w:type="dxa"/>
            <w:gridSpan w:val="3"/>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ind w:firstLine="480" w:firstLineChars="200"/>
              <w:jc w:val="left"/>
              <w:rPr>
                <w:rFonts w:ascii="宋体" w:hAnsi="宋体" w:cs="宋体"/>
                <w:color w:val="000000"/>
                <w:kern w:val="0"/>
                <w:sz w:val="24"/>
              </w:rPr>
            </w:pPr>
          </w:p>
        </w:tc>
        <w:tc>
          <w:tcPr>
            <w:tcW w:w="142" w:type="dxa"/>
            <w:tcBorders>
              <w:top w:val="nil"/>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line="560" w:lineRule="exact"/>
              <w:ind w:firstLine="340" w:firstLineChars="200"/>
              <w:jc w:val="left"/>
              <w:rPr>
                <w:rFonts w:ascii="宋体" w:hAnsi="宋体" w:cs="宋体"/>
                <w:color w:val="000000"/>
                <w:kern w:val="0"/>
                <w:sz w:val="17"/>
                <w:szCs w:val="17"/>
              </w:rPr>
            </w:pPr>
          </w:p>
        </w:tc>
      </w:tr>
      <w:tr>
        <w:tblPrEx>
          <w:tblCellMar>
            <w:top w:w="0" w:type="dxa"/>
            <w:left w:w="0" w:type="dxa"/>
            <w:bottom w:w="0" w:type="dxa"/>
            <w:right w:w="0" w:type="dxa"/>
          </w:tblCellMar>
        </w:tblPrEx>
        <w:trPr>
          <w:trHeight w:val="495" w:hRule="atLeast"/>
        </w:trPr>
        <w:tc>
          <w:tcPr>
            <w:tcW w:w="9777" w:type="dxa"/>
            <w:gridSpan w:val="16"/>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ind w:firstLine="400" w:firstLineChars="200"/>
              <w:rPr>
                <w:rFonts w:ascii="宋体" w:hAnsi="宋体" w:cs="宋体"/>
                <w:color w:val="000000"/>
                <w:kern w:val="0"/>
                <w:sz w:val="20"/>
                <w:szCs w:val="20"/>
              </w:rPr>
            </w:pPr>
            <w:r>
              <w:rPr>
                <w:rFonts w:hint="eastAsia" w:ascii="宋体" w:hAnsi="宋体" w:cs="宋体"/>
                <w:color w:val="000000"/>
                <w:kern w:val="0"/>
                <w:sz w:val="20"/>
                <w:szCs w:val="20"/>
              </w:rPr>
              <w:t>填报说明：1.资产总额＝流动资产＋固定资产＋对外投资／有价证券＋在建工程＋无形资产＋其他资产</w:t>
            </w:r>
          </w:p>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hint="eastAsia" w:ascii="宋体" w:hAnsi="宋体" w:cs="宋体"/>
                <w:color w:val="000000"/>
                <w:kern w:val="0"/>
                <w:sz w:val="20"/>
                <w:szCs w:val="20"/>
              </w:rPr>
              <w:t>2.固定资产＝房屋构筑物＋车辆＋单价200万元以上大型设备＋其他固定资产</w:t>
            </w:r>
          </w:p>
        </w:tc>
        <w:tc>
          <w:tcPr>
            <w:tcW w:w="1120" w:type="dxa"/>
            <w:gridSpan w:val="4"/>
            <w:tcBorders>
              <w:top w:val="nil"/>
              <w:left w:val="nil"/>
              <w:bottom w:val="nil"/>
              <w:right w:val="nil"/>
            </w:tcBorders>
            <w:shd w:val="clear" w:color="auto" w:fill="auto"/>
            <w:tcMar>
              <w:top w:w="15" w:type="dxa"/>
              <w:left w:w="15" w:type="dxa"/>
              <w:bottom w:w="15" w:type="dxa"/>
              <w:right w:w="15" w:type="dxa"/>
            </w:tcMar>
            <w:vAlign w:val="bottom"/>
          </w:tcPr>
          <w:p>
            <w:pPr>
              <w:keepNext w:val="0"/>
              <w:keepLines w:val="0"/>
              <w:pageBreakBefore w:val="0"/>
              <w:widowControl/>
              <w:kinsoku/>
              <w:wordWrap/>
              <w:overflowPunct/>
              <w:topLinePunct w:val="0"/>
              <w:autoSpaceDE/>
              <w:autoSpaceDN/>
              <w:bidi w:val="0"/>
              <w:spacing w:line="560" w:lineRule="exact"/>
              <w:ind w:firstLine="400" w:firstLineChars="200"/>
              <w:jc w:val="left"/>
              <w:rPr>
                <w:rFonts w:ascii="宋体" w:hAnsi="宋体" w:cs="宋体"/>
                <w:color w:val="000000"/>
                <w:kern w:val="0"/>
                <w:sz w:val="24"/>
              </w:rPr>
            </w:pPr>
            <w:r>
              <w:rPr>
                <w:rFonts w:ascii="Arial" w:hAnsi="Arial" w:cs="Arial"/>
                <w:color w:val="000000"/>
                <w:kern w:val="0"/>
                <w:sz w:val="20"/>
                <w:szCs w:val="20"/>
              </w:rPr>
              <w:t> </w:t>
            </w:r>
          </w:p>
        </w:tc>
      </w:tr>
    </w:tbl>
    <w:p>
      <w:pPr>
        <w:keepNext w:val="0"/>
        <w:keepLines w:val="0"/>
        <w:pageBreakBefore w:val="0"/>
        <w:kinsoku/>
        <w:wordWrap/>
        <w:overflowPunct/>
        <w:topLinePunct w:val="0"/>
        <w:autoSpaceDE/>
        <w:autoSpaceDN/>
        <w:bidi w:val="0"/>
        <w:spacing w:line="560" w:lineRule="exact"/>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 xml:space="preserve"> (三)政府采购支出情况</w:t>
      </w:r>
    </w:p>
    <w:p>
      <w:pPr>
        <w:keepNext w:val="0"/>
        <w:keepLines w:val="0"/>
        <w:pageBreakBefore w:val="0"/>
        <w:kinsoku/>
        <w:wordWrap/>
        <w:overflowPunct/>
        <w:topLinePunct w:val="0"/>
        <w:autoSpaceDE/>
        <w:autoSpaceDN/>
        <w:bidi w:val="0"/>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2017年度，部门政府采购支出总额2950.03万元，其中：政府采购货物支出232.58万元；政府采购工程支出2685.98万元；政府采购服务支出31.47万元。授予中小企业合同金额2950.03万元，占政府采购支出总额的100%。</w:t>
      </w:r>
    </w:p>
    <w:p>
      <w:pPr>
        <w:keepNext w:val="0"/>
        <w:keepLines w:val="0"/>
        <w:pageBreakBefore w:val="0"/>
        <w:kinsoku/>
        <w:wordWrap/>
        <w:overflowPunct/>
        <w:topLinePunct w:val="0"/>
        <w:autoSpaceDE/>
        <w:autoSpaceDN/>
        <w:bidi w:val="0"/>
        <w:spacing w:line="560" w:lineRule="exact"/>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（四）其他重要事项情况说明：</w:t>
      </w:r>
    </w:p>
    <w:p>
      <w:pPr>
        <w:keepNext w:val="0"/>
        <w:keepLines w:val="0"/>
        <w:pageBreakBefore w:val="0"/>
        <w:kinsoku/>
        <w:wordWrap/>
        <w:overflowPunct/>
        <w:topLinePunct w:val="0"/>
        <w:autoSpaceDE/>
        <w:autoSpaceDN/>
        <w:bidi w:val="0"/>
        <w:spacing w:line="560" w:lineRule="exact"/>
        <w:ind w:firstLine="600" w:firstLineChars="200"/>
        <w:jc w:val="left"/>
        <w:rPr>
          <w:rFonts w:ascii="楷体_GB2312" w:hAnsi="黑体" w:eastAsia="楷体_GB2312" w:cs="方正小标宋简体"/>
          <w:sz w:val="30"/>
          <w:szCs w:val="30"/>
        </w:rPr>
      </w:pPr>
      <w:r>
        <w:rPr>
          <w:rFonts w:hint="eastAsia" w:ascii="楷体_GB2312" w:hAnsi="黑体" w:eastAsia="楷体_GB2312" w:cs="方正小标宋简体"/>
          <w:sz w:val="30"/>
          <w:szCs w:val="30"/>
        </w:rPr>
        <w:t xml:space="preserve">      无</w:t>
      </w:r>
    </w:p>
    <w:p>
      <w:pPr>
        <w:keepNext w:val="0"/>
        <w:keepLines w:val="0"/>
        <w:pageBreakBefore w:val="0"/>
        <w:kinsoku/>
        <w:wordWrap/>
        <w:overflowPunct/>
        <w:topLinePunct w:val="0"/>
        <w:autoSpaceDE/>
        <w:autoSpaceDN/>
        <w:bidi w:val="0"/>
        <w:spacing w:line="560" w:lineRule="exact"/>
        <w:ind w:firstLine="600" w:firstLineChars="200"/>
        <w:jc w:val="left"/>
        <w:rPr>
          <w:rFonts w:ascii="楷体_GB2312" w:hAnsi="黑体" w:eastAsia="楷体_GB2312" w:cs="方正小标宋简体"/>
          <w:color w:val="FF0000"/>
          <w:sz w:val="30"/>
          <w:szCs w:val="30"/>
        </w:rPr>
      </w:pPr>
      <w:r>
        <w:rPr>
          <w:rFonts w:hint="eastAsia" w:ascii="楷体_GB2312" w:hAnsi="黑体" w:eastAsia="楷体_GB2312" w:cs="方正小标宋简体"/>
          <w:sz w:val="30"/>
          <w:szCs w:val="30"/>
        </w:rPr>
        <w:t>（五）相关口径说明</w:t>
      </w:r>
    </w:p>
    <w:p>
      <w:pPr>
        <w:keepNext w:val="0"/>
        <w:keepLines w:val="0"/>
        <w:pageBreakBefore w:val="0"/>
        <w:kinsoku/>
        <w:wordWrap/>
        <w:overflowPunct/>
        <w:topLinePunct w:val="0"/>
        <w:autoSpaceDE/>
        <w:autoSpaceDN/>
        <w:bidi w:val="0"/>
        <w:spacing w:line="560" w:lineRule="exact"/>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1．基本支出中人员经费包括工资福利支出和对个人和家庭的补助，日常公用支出包括商品和服务支出、其他资本性支出等人员经费以外的支出。</w:t>
      </w:r>
    </w:p>
    <w:p>
      <w:pPr>
        <w:keepNext w:val="0"/>
        <w:keepLines w:val="0"/>
        <w:pageBreakBefore w:val="0"/>
        <w:kinsoku/>
        <w:wordWrap/>
        <w:overflowPunct/>
        <w:topLinePunct w:val="0"/>
        <w:autoSpaceDE/>
        <w:autoSpaceDN/>
        <w:bidi w:val="0"/>
        <w:spacing w:line="560" w:lineRule="exact"/>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2．机关运行经费指行政单位和参照公务员法管理的事业单位使用一般公共预算财政拨款安排的除人员经费以外的基本支出。</w:t>
      </w:r>
    </w:p>
    <w:p>
      <w:pPr>
        <w:keepNext w:val="0"/>
        <w:keepLines w:val="0"/>
        <w:pageBreakBefore w:val="0"/>
        <w:kinsoku/>
        <w:wordWrap/>
        <w:overflowPunct/>
        <w:topLinePunct w:val="0"/>
        <w:autoSpaceDE/>
        <w:autoSpaceDN/>
        <w:bidi w:val="0"/>
        <w:spacing w:line="560" w:lineRule="exact"/>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3．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w:t>
      </w:r>
    </w:p>
    <w:p>
      <w:pPr>
        <w:keepNext w:val="0"/>
        <w:keepLines w:val="0"/>
        <w:pageBreakBefore w:val="0"/>
        <w:kinsoku/>
        <w:wordWrap/>
        <w:overflowPunct/>
        <w:topLinePunct w:val="0"/>
        <w:autoSpaceDE/>
        <w:autoSpaceDN/>
        <w:bidi w:val="0"/>
        <w:spacing w:line="560" w:lineRule="exact"/>
        <w:ind w:firstLine="600" w:firstLineChars="200"/>
        <w:jc w:val="left"/>
        <w:rPr>
          <w:rFonts w:ascii="仿宋_GB2312" w:hAnsi="黑体" w:eastAsia="仿宋_GB2312" w:cs="方正小标宋简体"/>
          <w:sz w:val="30"/>
          <w:szCs w:val="30"/>
        </w:rPr>
      </w:pPr>
      <w:r>
        <w:rPr>
          <w:rFonts w:hint="eastAsia" w:ascii="仿宋_GB2312" w:hAnsi="黑体" w:eastAsia="仿宋_GB2312" w:cs="方正小标宋简体"/>
          <w:sz w:val="30"/>
          <w:szCs w:val="30"/>
        </w:rPr>
        <w:t>4.“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s="方正小标宋简体"/>
          <w:sz w:val="32"/>
          <w:szCs w:val="32"/>
        </w:rPr>
      </w:pPr>
    </w:p>
    <w:p>
      <w:pPr>
        <w:keepNext w:val="0"/>
        <w:keepLines w:val="0"/>
        <w:pageBreakBefore w:val="0"/>
        <w:kinsoku/>
        <w:wordWrap/>
        <w:overflowPunct/>
        <w:topLinePunct w:val="0"/>
        <w:autoSpaceDE/>
        <w:autoSpaceDN/>
        <w:bidi w:val="0"/>
        <w:spacing w:line="560" w:lineRule="exact"/>
        <w:ind w:firstLine="640" w:firstLineChars="200"/>
        <w:rPr>
          <w:rFonts w:ascii="黑体" w:hAnsi="黑体" w:eastAsia="黑体" w:cs="方正小标宋简体"/>
          <w:sz w:val="32"/>
          <w:szCs w:val="32"/>
        </w:rPr>
      </w:pPr>
    </w:p>
    <w:p>
      <w:pPr>
        <w:keepNext w:val="0"/>
        <w:keepLines w:val="0"/>
        <w:pageBreakBefore w:val="0"/>
        <w:kinsoku/>
        <w:wordWrap/>
        <w:overflowPunct/>
        <w:topLinePunct w:val="0"/>
        <w:autoSpaceDE/>
        <w:autoSpaceDN/>
        <w:bidi w:val="0"/>
        <w:spacing w:line="560" w:lineRule="exact"/>
        <w:ind w:firstLine="640" w:firstLineChars="200"/>
        <w:rPr>
          <w:rFonts w:ascii="宋体" w:hAnsi="宋体" w:eastAsia="宋体" w:cs="宋体"/>
          <w:sz w:val="32"/>
          <w:szCs w:val="32"/>
        </w:rPr>
      </w:pPr>
      <w:r>
        <w:rPr>
          <w:rFonts w:hint="eastAsia" w:ascii="黑体" w:hAnsi="黑体" w:eastAsia="黑体" w:cs="方正小标宋简体"/>
          <w:sz w:val="32"/>
          <w:szCs w:val="32"/>
        </w:rPr>
        <w:t>第四部分  名词解释</w:t>
      </w:r>
    </w:p>
    <w:p>
      <w:pPr>
        <w:keepNext w:val="0"/>
        <w:keepLines w:val="0"/>
        <w:pageBreakBefore w:val="0"/>
        <w:kinsoku/>
        <w:wordWrap/>
        <w:overflowPunct/>
        <w:topLinePunct w:val="0"/>
        <w:autoSpaceDE/>
        <w:autoSpaceDN/>
        <w:bidi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财政拨款收入：指县级财政当年拨付的资金。</w:t>
      </w:r>
    </w:p>
    <w:p>
      <w:pPr>
        <w:keepNext w:val="0"/>
        <w:keepLines w:val="0"/>
        <w:pageBreakBefore w:val="0"/>
        <w:kinsoku/>
        <w:wordWrap/>
        <w:overflowPunct/>
        <w:topLinePunct w:val="0"/>
        <w:autoSpaceDE/>
        <w:autoSpaceDN/>
        <w:bidi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基本支出：为保障机构正常运行，完成日常工作任务而发生的人员支出和公用支出。</w:t>
      </w:r>
    </w:p>
    <w:p>
      <w:pPr>
        <w:keepNext w:val="0"/>
        <w:keepLines w:val="0"/>
        <w:pageBreakBefore w:val="0"/>
        <w:kinsoku/>
        <w:wordWrap/>
        <w:overflowPunct/>
        <w:topLinePunct w:val="0"/>
        <w:autoSpaceDE/>
        <w:autoSpaceDN/>
        <w:bidi w:val="0"/>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项目支出：指在基本支出之外为完成特定行政任务和事业发展目标所发生的支出。</w:t>
      </w:r>
    </w:p>
    <w:p>
      <w:pPr>
        <w:keepNext w:val="0"/>
        <w:keepLines w:val="0"/>
        <w:pageBreakBefore w:val="0"/>
        <w:kinsoku/>
        <w:wordWrap/>
        <w:overflowPunct/>
        <w:topLinePunct w:val="0"/>
        <w:autoSpaceDE/>
        <w:autoSpaceDN/>
        <w:bidi w:val="0"/>
        <w:spacing w:line="560" w:lineRule="exact"/>
        <w:ind w:firstLine="640" w:firstLineChars="200"/>
        <w:rPr>
          <w:rFonts w:ascii="宋体" w:hAnsi="宋体" w:eastAsia="宋体" w:cs="宋体"/>
          <w:color w:val="FF0000"/>
          <w:sz w:val="32"/>
          <w:szCs w:val="32"/>
        </w:rPr>
      </w:pPr>
    </w:p>
    <w:p>
      <w:pPr>
        <w:keepNext w:val="0"/>
        <w:keepLines w:val="0"/>
        <w:pageBreakBefore w:val="0"/>
        <w:kinsoku/>
        <w:wordWrap/>
        <w:overflowPunct/>
        <w:topLinePunct w:val="0"/>
        <w:autoSpaceDE/>
        <w:autoSpaceDN/>
        <w:bidi w:val="0"/>
        <w:spacing w:line="560" w:lineRule="exact"/>
        <w:ind w:firstLine="640" w:firstLineChars="200"/>
        <w:rPr>
          <w:rFonts w:ascii="宋体" w:hAnsi="宋体" w:eastAsia="宋体" w:cs="宋体"/>
          <w:color w:val="FF0000"/>
          <w:sz w:val="32"/>
          <w:szCs w:val="32"/>
        </w:rPr>
      </w:pPr>
    </w:p>
    <w:p>
      <w:pPr>
        <w:keepNext w:val="0"/>
        <w:keepLines w:val="0"/>
        <w:pageBreakBefore w:val="0"/>
        <w:kinsoku/>
        <w:wordWrap/>
        <w:overflowPunct/>
        <w:topLinePunct w:val="0"/>
        <w:autoSpaceDE/>
        <w:autoSpaceDN/>
        <w:bidi w:val="0"/>
        <w:spacing w:line="560" w:lineRule="exact"/>
        <w:ind w:firstLine="640" w:firstLineChars="200"/>
        <w:rPr>
          <w:rFonts w:ascii="宋体" w:hAnsi="宋体" w:eastAsia="宋体" w:cs="宋体"/>
          <w:color w:val="FF0000"/>
          <w:sz w:val="32"/>
          <w:szCs w:val="32"/>
        </w:rPr>
      </w:pPr>
    </w:p>
    <w:p>
      <w:pPr>
        <w:keepNext w:val="0"/>
        <w:keepLines w:val="0"/>
        <w:pageBreakBefore w:val="0"/>
        <w:kinsoku/>
        <w:wordWrap/>
        <w:overflowPunct/>
        <w:topLinePunct w:val="0"/>
        <w:autoSpaceDE/>
        <w:autoSpaceDN/>
        <w:bidi w:val="0"/>
        <w:spacing w:line="560" w:lineRule="exact"/>
        <w:ind w:firstLine="640" w:firstLineChars="200"/>
        <w:jc w:val="righ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 盈江县弄璋镇人民政府</w:t>
      </w:r>
    </w:p>
    <w:p>
      <w:pPr>
        <w:keepNext w:val="0"/>
        <w:keepLines w:val="0"/>
        <w:pageBreakBefore w:val="0"/>
        <w:kinsoku/>
        <w:wordWrap w:val="0"/>
        <w:overflowPunct/>
        <w:topLinePunct w:val="0"/>
        <w:autoSpaceDE/>
        <w:autoSpaceDN/>
        <w:bidi w:val="0"/>
        <w:spacing w:line="560" w:lineRule="exact"/>
        <w:ind w:firstLine="640" w:firstLineChars="200"/>
        <w:jc w:val="right"/>
        <w:rPr>
          <w:rFonts w:hint="default" w:ascii="仿宋_GB2312" w:hAnsi="仿宋_GB2312" w:eastAsia="仿宋_GB2312" w:cs="仿宋_GB2312"/>
          <w:color w:val="000000" w:themeColor="text1"/>
          <w:sz w:val="32"/>
          <w:szCs w:val="32"/>
          <w:lang w:val="en-US" w:eastAsia="zh-CN"/>
        </w:rPr>
      </w:pPr>
      <w:r>
        <w:rPr>
          <w:rFonts w:hint="eastAsia" w:ascii="仿宋_GB2312" w:hAnsi="仿宋_GB2312" w:eastAsia="仿宋_GB2312" w:cs="仿宋_GB2312"/>
          <w:color w:val="000000" w:themeColor="text1"/>
          <w:sz w:val="32"/>
          <w:szCs w:val="32"/>
        </w:rPr>
        <w:t>2018年10月15 日</w:t>
      </w:r>
      <w:r>
        <w:rPr>
          <w:rFonts w:hint="eastAsia" w:ascii="仿宋_GB2312" w:hAnsi="仿宋_GB2312" w:eastAsia="仿宋_GB2312" w:cs="仿宋_GB2312"/>
          <w:color w:val="000000" w:themeColor="text1"/>
          <w:sz w:val="32"/>
          <w:szCs w:val="32"/>
          <w:lang w:val="en-US" w:eastAsia="zh-CN"/>
        </w:rPr>
        <w:t xml:space="preserve">  </w:t>
      </w:r>
    </w:p>
    <w:sectPr>
      <w:headerReference r:id="rId3" w:type="default"/>
      <w:footerReference r:id="rId4" w:type="default"/>
      <w:pgSz w:w="11906" w:h="16838"/>
      <w:pgMar w:top="1383" w:right="1797" w:bottom="1383" w:left="179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E2YmU2YzE0OWVjMDQzMWVjOTg2MmYxZDA2NGYzZDEifQ=="/>
  </w:docVars>
  <w:rsids>
    <w:rsidRoot w:val="70EE2992"/>
    <w:rsid w:val="00016921"/>
    <w:rsid w:val="00034159"/>
    <w:rsid w:val="00045C41"/>
    <w:rsid w:val="00055170"/>
    <w:rsid w:val="000B348E"/>
    <w:rsid w:val="001464A4"/>
    <w:rsid w:val="001675F2"/>
    <w:rsid w:val="0017044F"/>
    <w:rsid w:val="001713FA"/>
    <w:rsid w:val="001A5A29"/>
    <w:rsid w:val="001B0AEC"/>
    <w:rsid w:val="001B2C63"/>
    <w:rsid w:val="001D0CA3"/>
    <w:rsid w:val="001D5884"/>
    <w:rsid w:val="001F1B8F"/>
    <w:rsid w:val="001F74BA"/>
    <w:rsid w:val="002334B9"/>
    <w:rsid w:val="002345D0"/>
    <w:rsid w:val="002D6EB9"/>
    <w:rsid w:val="00303F66"/>
    <w:rsid w:val="00311538"/>
    <w:rsid w:val="0035067F"/>
    <w:rsid w:val="00353CF0"/>
    <w:rsid w:val="0037413C"/>
    <w:rsid w:val="003C3721"/>
    <w:rsid w:val="00413C91"/>
    <w:rsid w:val="0042018E"/>
    <w:rsid w:val="004829C2"/>
    <w:rsid w:val="00491604"/>
    <w:rsid w:val="004B5AA2"/>
    <w:rsid w:val="004D47EC"/>
    <w:rsid w:val="004F6A21"/>
    <w:rsid w:val="00551C8A"/>
    <w:rsid w:val="00565FB9"/>
    <w:rsid w:val="00586B3B"/>
    <w:rsid w:val="005B1126"/>
    <w:rsid w:val="005B7B2C"/>
    <w:rsid w:val="005F05FD"/>
    <w:rsid w:val="00604DA3"/>
    <w:rsid w:val="006A535C"/>
    <w:rsid w:val="007221E2"/>
    <w:rsid w:val="00723C45"/>
    <w:rsid w:val="00742F31"/>
    <w:rsid w:val="0076027D"/>
    <w:rsid w:val="00786CA8"/>
    <w:rsid w:val="007E3FB7"/>
    <w:rsid w:val="007F3BB6"/>
    <w:rsid w:val="008073BD"/>
    <w:rsid w:val="008B2228"/>
    <w:rsid w:val="008C4BB9"/>
    <w:rsid w:val="008E5941"/>
    <w:rsid w:val="008E797C"/>
    <w:rsid w:val="00905E93"/>
    <w:rsid w:val="009A2C31"/>
    <w:rsid w:val="009A4F43"/>
    <w:rsid w:val="009E35B7"/>
    <w:rsid w:val="00A65C28"/>
    <w:rsid w:val="00A77F04"/>
    <w:rsid w:val="00AF0932"/>
    <w:rsid w:val="00B17F6B"/>
    <w:rsid w:val="00B91876"/>
    <w:rsid w:val="00BE08CB"/>
    <w:rsid w:val="00C0371C"/>
    <w:rsid w:val="00C244CD"/>
    <w:rsid w:val="00C3576B"/>
    <w:rsid w:val="00C45A50"/>
    <w:rsid w:val="00CE094F"/>
    <w:rsid w:val="00D173AC"/>
    <w:rsid w:val="00D32FE8"/>
    <w:rsid w:val="00D44EC7"/>
    <w:rsid w:val="00D53454"/>
    <w:rsid w:val="00D906C4"/>
    <w:rsid w:val="00DF56C1"/>
    <w:rsid w:val="00E21B5E"/>
    <w:rsid w:val="00E26375"/>
    <w:rsid w:val="00E7757B"/>
    <w:rsid w:val="00E8586D"/>
    <w:rsid w:val="00ED392B"/>
    <w:rsid w:val="00EF15E3"/>
    <w:rsid w:val="00F048A3"/>
    <w:rsid w:val="00F34FAC"/>
    <w:rsid w:val="00F41C24"/>
    <w:rsid w:val="00F5674B"/>
    <w:rsid w:val="00FB1C83"/>
    <w:rsid w:val="02F87224"/>
    <w:rsid w:val="03FC3043"/>
    <w:rsid w:val="048A60FE"/>
    <w:rsid w:val="068E41E7"/>
    <w:rsid w:val="06EB44AB"/>
    <w:rsid w:val="06FC021E"/>
    <w:rsid w:val="0ABE2743"/>
    <w:rsid w:val="0B6E3242"/>
    <w:rsid w:val="0D041181"/>
    <w:rsid w:val="0E722B3D"/>
    <w:rsid w:val="0F4311FB"/>
    <w:rsid w:val="0FF1717D"/>
    <w:rsid w:val="10044BFA"/>
    <w:rsid w:val="123804C7"/>
    <w:rsid w:val="1321353C"/>
    <w:rsid w:val="135A3ED7"/>
    <w:rsid w:val="14091701"/>
    <w:rsid w:val="17130513"/>
    <w:rsid w:val="18876F2A"/>
    <w:rsid w:val="197863F7"/>
    <w:rsid w:val="1B2D159D"/>
    <w:rsid w:val="1B7433C2"/>
    <w:rsid w:val="1DBB5960"/>
    <w:rsid w:val="1DF5072E"/>
    <w:rsid w:val="1F2030FF"/>
    <w:rsid w:val="1FB23185"/>
    <w:rsid w:val="235C69C4"/>
    <w:rsid w:val="23E837D2"/>
    <w:rsid w:val="241B7587"/>
    <w:rsid w:val="2466767A"/>
    <w:rsid w:val="258009D7"/>
    <w:rsid w:val="26034020"/>
    <w:rsid w:val="289B47E2"/>
    <w:rsid w:val="2B8E2530"/>
    <w:rsid w:val="2C084783"/>
    <w:rsid w:val="2E3D6AD2"/>
    <w:rsid w:val="2F302DCC"/>
    <w:rsid w:val="30AB0C24"/>
    <w:rsid w:val="370010E7"/>
    <w:rsid w:val="375F651E"/>
    <w:rsid w:val="37947820"/>
    <w:rsid w:val="395221DE"/>
    <w:rsid w:val="39DD37D8"/>
    <w:rsid w:val="3B76742E"/>
    <w:rsid w:val="3FAC703E"/>
    <w:rsid w:val="419064CB"/>
    <w:rsid w:val="42874470"/>
    <w:rsid w:val="42E839B3"/>
    <w:rsid w:val="43CB264B"/>
    <w:rsid w:val="44D61739"/>
    <w:rsid w:val="464F00C1"/>
    <w:rsid w:val="46EA49DE"/>
    <w:rsid w:val="47A33BBC"/>
    <w:rsid w:val="47A760F4"/>
    <w:rsid w:val="47CD35FD"/>
    <w:rsid w:val="4865691D"/>
    <w:rsid w:val="4A861F3A"/>
    <w:rsid w:val="4AFE746D"/>
    <w:rsid w:val="4B4A688E"/>
    <w:rsid w:val="4D0A3C16"/>
    <w:rsid w:val="4DB91852"/>
    <w:rsid w:val="4E2F21FC"/>
    <w:rsid w:val="4E914DCD"/>
    <w:rsid w:val="4EC54068"/>
    <w:rsid w:val="518E6C16"/>
    <w:rsid w:val="51D6476D"/>
    <w:rsid w:val="528876FA"/>
    <w:rsid w:val="528E0058"/>
    <w:rsid w:val="52B35D02"/>
    <w:rsid w:val="53310CD0"/>
    <w:rsid w:val="54B86CB1"/>
    <w:rsid w:val="570D76FD"/>
    <w:rsid w:val="577907AD"/>
    <w:rsid w:val="57BF4F45"/>
    <w:rsid w:val="57D44B80"/>
    <w:rsid w:val="5BEA2696"/>
    <w:rsid w:val="5D8C69B1"/>
    <w:rsid w:val="5E1D1D03"/>
    <w:rsid w:val="5E2E4AA5"/>
    <w:rsid w:val="5E6C2AFE"/>
    <w:rsid w:val="5EAC3067"/>
    <w:rsid w:val="5FC15FA3"/>
    <w:rsid w:val="62BC2E37"/>
    <w:rsid w:val="63426DDC"/>
    <w:rsid w:val="640867F5"/>
    <w:rsid w:val="666D7AA9"/>
    <w:rsid w:val="66CA4159"/>
    <w:rsid w:val="6A6D4398"/>
    <w:rsid w:val="6B322BFB"/>
    <w:rsid w:val="6B793F59"/>
    <w:rsid w:val="6CD27ACC"/>
    <w:rsid w:val="6D46104D"/>
    <w:rsid w:val="6FBD53B3"/>
    <w:rsid w:val="6FBD560B"/>
    <w:rsid w:val="70EC78A0"/>
    <w:rsid w:val="70EE2992"/>
    <w:rsid w:val="774F4659"/>
    <w:rsid w:val="779C06E4"/>
    <w:rsid w:val="789A4E06"/>
    <w:rsid w:val="78C8516E"/>
    <w:rsid w:val="78DB7C14"/>
    <w:rsid w:val="7BF23863"/>
    <w:rsid w:val="7C9B5C95"/>
    <w:rsid w:val="7C9E48BB"/>
    <w:rsid w:val="7DA55AAA"/>
    <w:rsid w:val="7E807FF2"/>
    <w:rsid w:val="7EE937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Lines="30"/>
    </w:pPr>
    <w:rPr>
      <w:rFonts w:ascii="仿宋_GB2312" w:eastAsia="仿宋_GB2312"/>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p0"/>
    <w:basedOn w:val="1"/>
    <w:qFormat/>
    <w:uiPriority w:val="0"/>
    <w:pPr>
      <w:widowControl/>
    </w:pPr>
    <w:rPr>
      <w:rFonts w:ascii="Calibri" w:hAnsi="Calibri" w:cs="宋体"/>
      <w:kern w:val="0"/>
      <w:szCs w:val="21"/>
    </w:rPr>
  </w:style>
  <w:style w:type="paragraph" w:customStyle="1" w:styleId="9">
    <w:name w:val="pa-4"/>
    <w:basedOn w:val="1"/>
    <w:qFormat/>
    <w:uiPriority w:val="0"/>
    <w:pPr>
      <w:widowControl/>
      <w:spacing w:line="360" w:lineRule="atLeast"/>
      <w:ind w:firstLine="640"/>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德宏州盈江县党政机关单位</Company>
  <Pages>15</Pages>
  <Words>1139</Words>
  <Characters>6494</Characters>
  <Lines>54</Lines>
  <Paragraphs>15</Paragraphs>
  <TotalTime>38</TotalTime>
  <ScaleCrop>false</ScaleCrop>
  <LinksUpToDate>false</LinksUpToDate>
  <CharactersWithSpaces>7618</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2018-06-15T08:39:00Z</dcterms:created>
  <dc:creator>yph</dc:creator>
  <cp:lastModifiedBy>ViaKristina</cp:lastModifiedBy>
  <cp:lastPrinted>2018-09-19T08:41:00Z</cp:lastPrinted>
  <dcterms:modified xsi:type="dcterms:W3CDTF">2024-03-28T09:34:42Z</dcterms:modified>
  <dc:title>部门决算公开培训资料</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C4BC921C91844DAEB81E5FCBC2A5321D_12</vt:lpwstr>
  </property>
</Properties>
</file>