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8D" w:rsidRDefault="00B10BF5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盈江县卫生</w:t>
      </w:r>
      <w:r w:rsidR="00A56C8D"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局2016年部门</w:t>
      </w:r>
    </w:p>
    <w:p w:rsidR="00A56C8D" w:rsidRPr="00A56C8D" w:rsidRDefault="00B10BF5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决</w:t>
      </w:r>
      <w:r w:rsidR="00A56C8D"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算编制说明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黑体" w:eastAsia="黑体" w:hAnsi="黑体"/>
          <w:color w:val="4F4F4F"/>
          <w:sz w:val="32"/>
          <w:szCs w:val="32"/>
          <w:shd w:val="clear" w:color="auto" w:fill="FFFFFF"/>
        </w:rPr>
      </w:pP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一、部门主要职责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盈江县卫生和计划生育委员会是县政府部门的行政机关单位，主要职能:</w:t>
      </w:r>
    </w:p>
    <w:p w:rsidR="00A863AF" w:rsidRPr="00A863AF" w:rsidRDefault="00A863AF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1</w:t>
      </w:r>
      <w:r w:rsidRPr="00A863AF">
        <w:rPr>
          <w:rFonts w:ascii="仿宋" w:eastAsia="仿宋" w:hAnsi="仿宋" w:hint="eastAsia"/>
          <w:sz w:val="32"/>
          <w:szCs w:val="32"/>
        </w:rPr>
        <w:t>、贯彻执行国家和省州县有关卫生计生、中医药工作发展的法律法规和方针政策，拟订全县卫生计生以及促进中医药事业发展的规划草案。协助推进医药卫生体制改革，统筹规划卫生计生服务资源配置，指导全县卫生计生系统规划的编制和实施。</w:t>
      </w:r>
    </w:p>
    <w:p w:rsidR="00A863AF" w:rsidRPr="00A863AF" w:rsidRDefault="00A863AF" w:rsidP="007A6D3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3AF">
        <w:rPr>
          <w:rFonts w:ascii="仿宋" w:eastAsia="仿宋" w:hAnsi="仿宋" w:hint="eastAsia"/>
          <w:sz w:val="32"/>
          <w:szCs w:val="32"/>
        </w:rPr>
        <w:t>2、负责制定疾病预防控制规划、免疫规划、严重危害人民健康的公共卫生问题的干预措施并组织实施，根据国家检疫传染病和监测传染病目录，制定卫生应急和紧急医学救援预案，做好突发公共卫生事件监测和风险评估，组织和指导突发公共卫生事件预防控制和各类突发公共事件的处置、医疗卫生救援。按程序报告法定报告传染病疫情信息、突发公共卫生事件应急处置信息。承担盈江县爱国卫生运动委员会的具体工作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A863AF" w:rsidRPr="00A863AF">
        <w:rPr>
          <w:rFonts w:ascii="仿宋" w:eastAsia="仿宋" w:hAnsi="仿宋" w:hint="eastAsia"/>
          <w:sz w:val="32"/>
          <w:szCs w:val="32"/>
        </w:rPr>
        <w:t xml:space="preserve">贯彻实施职责范围内的职业卫生、放射卫生、环境卫生、学校卫生、公共场所卫生、饮用水卫生管理规范、标准和政策措施，组织开展相关监测、调查、评估和监督，负责传染病防治监督。组织开展食品安全风险监测和评估工作。 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4、</w:t>
      </w:r>
      <w:r w:rsidR="00A863AF" w:rsidRPr="00A863AF">
        <w:rPr>
          <w:rFonts w:ascii="仿宋" w:eastAsia="仿宋" w:hAnsi="仿宋" w:hint="eastAsia"/>
          <w:sz w:val="32"/>
          <w:szCs w:val="32"/>
        </w:rPr>
        <w:t>拟订并组织实施基层卫生计生服务、妇幼卫生发展规划和政策措施，指导基层卫生计生、妇幼卫生服务体系建设，推进基本公共卫生计生服务均等化，完善基层运行新机制和乡村医生管理制度。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A863AF" w:rsidRPr="00A863AF">
        <w:rPr>
          <w:rFonts w:ascii="仿宋" w:eastAsia="仿宋" w:hAnsi="仿宋" w:hint="eastAsia"/>
          <w:sz w:val="32"/>
          <w:szCs w:val="32"/>
        </w:rPr>
        <w:t xml:space="preserve">贯彻执行医疗机构和医疗服务全行业管理办法并监督实施。执行医疗机构及其医疗服务、医疗技术、医疗质量、医疗安全以及采供血机构管理的规范、标准。会同有关部门贯彻执行国家卫生计生专业技术人员准入、资格标准，组织实施卫生专业技术人员执业规则和服务规范，建立医疗服务评价和监督管理体系。 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A863AF" w:rsidRPr="00A863AF">
        <w:rPr>
          <w:rFonts w:ascii="仿宋" w:eastAsia="仿宋" w:hAnsi="仿宋" w:hint="eastAsia"/>
          <w:sz w:val="32"/>
          <w:szCs w:val="32"/>
        </w:rPr>
        <w:t>负责组织推进县级公立医院综合改革，建立公益性为导向的绩效考核和评价运行机制，构建和谐医患关系，提出医疗服务和药品价格政策的建议。贯彻落实国家药物政策和基本药物制度，执行国家药品法典和国家基本药物目录，贯彻执行药物采购、配送、使用的政策措施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A863AF" w:rsidRPr="00A863AF">
        <w:rPr>
          <w:rFonts w:ascii="仿宋" w:eastAsia="仿宋" w:hAnsi="仿宋" w:hint="eastAsia"/>
          <w:sz w:val="32"/>
          <w:szCs w:val="32"/>
        </w:rPr>
        <w:t>负责综合管理中医（含中西医结合、民族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，下同）的医疗、教育、科研工作；负责中医药继承与创新、中医药人才培养、中医药对外交流合作；促进中药资源的保护开发与合理利用；规划、指导中医医疗机构布局和综合改革。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A863AF" w:rsidRPr="00A863AF">
        <w:rPr>
          <w:rFonts w:ascii="仿宋" w:eastAsia="仿宋" w:hAnsi="仿宋" w:hint="eastAsia"/>
          <w:sz w:val="32"/>
          <w:szCs w:val="32"/>
        </w:rPr>
        <w:t>贯彻落实国家和省、州计划生育政策，组织实施促进出生人口性别平衡的政策措施，组织监测计划生育发展动态，负责计划生育相关数据采集和分析研究，提出发布计划生育安全预警预报信息建议。制定计划生育技术服务管理制度并监督实施。制定优生优育和提高出生人口素质的政策措</w:t>
      </w:r>
      <w:r w:rsidR="00A863AF" w:rsidRPr="00A863AF">
        <w:rPr>
          <w:rFonts w:ascii="仿宋" w:eastAsia="仿宋" w:hAnsi="仿宋" w:hint="eastAsia"/>
          <w:sz w:val="32"/>
          <w:szCs w:val="32"/>
        </w:rPr>
        <w:lastRenderedPageBreak/>
        <w:t>施并组织实施，推动实施计划生育生殖健康促进计划，降低出生缺陷人口数量。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实施、建立完善计划生育利益导向、计划生育特殊困难家庭扶助和促进计划生育家庭发展等机制。负责协调推进有关部门、群众团体履行计划生育工作相关职责，建立与经济社会发展政策的衔接机制，提出稳定低生育水平政策措施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="00A863AF" w:rsidRPr="00A863AF">
        <w:rPr>
          <w:rFonts w:ascii="仿宋" w:eastAsia="仿宋" w:hAnsi="仿宋" w:hint="eastAsia"/>
          <w:sz w:val="32"/>
          <w:szCs w:val="32"/>
        </w:rPr>
        <w:t>制定流动人口计划生育服务管理制度并组织落实，推动建立流动人口卫生计生信息共享和公共服务均等化工作机制。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拟订卫生计生人才发展规划，指导卫生计生人才队伍建设，加强全科医生等急需紧缺专业人才培养，按照国家标准，建立完善住院医师、专科医师和计划生育技术服务规范化培训制度。组织指导在职医学教育和继续医学教育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</w:t>
      </w:r>
      <w:r w:rsidR="00A863AF" w:rsidRPr="00A863AF">
        <w:rPr>
          <w:rFonts w:ascii="仿宋" w:eastAsia="仿宋" w:hAnsi="仿宋" w:hint="eastAsia"/>
          <w:sz w:val="32"/>
          <w:szCs w:val="32"/>
        </w:rPr>
        <w:t>指导卫生计生工作，完善综合监督执法体系，规范执法行为，监督检查有关法律法规和政策措施的落实，组织查处重大违法行为。落实计划生育一票否决制。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组织拟订卫生计生科技发展规划，组织实施卫生计生相关科研项目。负责卫生计生宣传、健康教育、健康促进等工作，依法组织实施统计调查，参与全县人口基础信息库建设。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承担县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人民政府防治艾滋病工作委员会的日常工作，负责组织协调、指导、考核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防艾委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成员单位对艾滋病实施防控和干预的工作，控制艾滋病的传播和蔓延。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15、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承办县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人民政府交办的其他事项。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二、部门2016主要工作任务</w:t>
      </w:r>
      <w:r>
        <w:rPr>
          <w:rFonts w:ascii="Simsun" w:hAnsi="Simsun"/>
          <w:color w:val="4F4F4F"/>
          <w:sz w:val="32"/>
          <w:szCs w:val="32"/>
          <w:shd w:val="clear" w:color="auto" w:fill="FFFFFF"/>
        </w:rPr>
        <w:t> 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1</w:t>
      </w:r>
      <w:r w:rsidR="008B35BC">
        <w:rPr>
          <w:rFonts w:ascii="仿宋" w:eastAsia="仿宋" w:hAnsi="仿宋" w:hint="eastAsia"/>
          <w:color w:val="4F4F4F"/>
          <w:sz w:val="32"/>
          <w:szCs w:val="32"/>
        </w:rPr>
        <w:t>、认真编制“十三五”规划，对乡镇卫生院实行预算管理。编制完成盈江</w:t>
      </w:r>
      <w:r>
        <w:rPr>
          <w:rFonts w:ascii="仿宋" w:eastAsia="仿宋" w:hAnsi="仿宋" w:hint="eastAsia"/>
          <w:color w:val="4F4F4F"/>
          <w:sz w:val="32"/>
          <w:szCs w:val="32"/>
        </w:rPr>
        <w:t>县卫生计生事业“十三五”发展规划以及医药卫生体制改革、人才发展、重大醒目、卫生应急、疾病预防控制、医疗机构设置、妇幼健康服务、监督执法、中医药事业发展、卫生计生科教发展、计划生育工作、爱国卫生、职业道德与行业作风建设等专项规划，做好规划的配套政策制定。推行基层卫生院全面预算管理，强化预算约束和财务管理，加强成本核算与控制。做好乡镇及村级卫生机构预算管理及资金保障工作，创新医疗收入核算机制。科学制定项目实施方案，加快资金拨付进度，提高资金使用效益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2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、加强人才队伍建设，推进产权公有村级卫生计生服务室标准化建设。开展全科医生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特岗试点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工作，为乡镇卫生院招聘全科医生，继续为乡镇卫生院招收定向医学生，实施乡村医生定单定向培养计划。继续开展村级卫生计生服务室规范化建设。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3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、推进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保资金支付方式改革。深化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保支付方式改革，加快推进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按床日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、病种、按人头、按服务单元、按疾病诊断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相关组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等复合型付费方式。加大基金监管力度，强化定点医疗机构监管，全面开展商业保险机构驻点巡查工作。全面落实疾病应急救助制度，加快救助经费拨付进程。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4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继续健全完善医疗卫生机构绩效考核办法。坚持绩效考核与社会效益挂钩，突出基层医疗卫生机构的公益性；坚持公平、公正、公开的考核方式和综合评价、合理量化的考核办法，以基本公共卫生服务和基本医疗服务为考核重点，促进基层医疗卫生机构全面履行职责；坚持定期考核与不定期督查相结合，建立对基层医疗卫生机构以及对其工作人员的两级考核体系；坚持考核结果与基层医疗卫生机构的财政补助、工作人员收入待遇相结合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6、全力推进法治卫生计生和无烟医院、无烟单位创建。推进卫生计生法治建设，深化行政审批</w:t>
      </w:r>
      <w:hyperlink r:id="rId8" w:tgtFrame="_blank" w:history="1">
        <w:r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制度</w:t>
        </w:r>
      </w:hyperlink>
      <w:r>
        <w:rPr>
          <w:rFonts w:ascii="仿宋" w:eastAsia="仿宋" w:hAnsi="仿宋" w:hint="eastAsia"/>
          <w:color w:val="4F4F4F"/>
          <w:sz w:val="32"/>
          <w:szCs w:val="32"/>
        </w:rPr>
        <w:t>改革，全面推进卫生计生政务公开，健全依法维权和化解纠纷机制。把卫生计生信访纳入法治化轨道，保障合理合法诉求有效解决。积极推进公共卫生、医疗卫生和计划生育综合监督执法，坚持严格规范公正文明执法，设立监督举报电话，强化对行政权力的制约和监督，促进医务人员依法依规行医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6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、继续推进县级公立医院改革。围绕公立医院综合改革、全民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保体系建设、基本药物制度、分级诊疗工作和住院医师规范化培训等内容，积极做好改善医疗服务行动计划，加大便民、利民、惠民措施力度，继续推动构建和谐医患关系。</w:t>
      </w:r>
    </w:p>
    <w:p w:rsidR="00A56C8D" w:rsidRDefault="00F85E3F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7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、积极稳妥推进全面两孩政策落实。积极做好《中共中央国务院关于实施全面两孩政策改革完善计划</w:t>
      </w:r>
      <w:r>
        <w:rPr>
          <w:rFonts w:ascii="仿宋" w:eastAsia="仿宋" w:hAnsi="仿宋" w:hint="eastAsia"/>
          <w:color w:val="4F4F4F"/>
          <w:sz w:val="32"/>
          <w:szCs w:val="32"/>
        </w:rPr>
        <w:t>生育服务管理的决定》解读宣传工作，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围绕实施全面两孩政策开展主题宣传活动，积极稳妥推进全面两孩政策落实。</w:t>
      </w:r>
    </w:p>
    <w:p w:rsidR="00A56C8D" w:rsidRDefault="00FC2316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8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注重党风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廉政建设，加强信息化建设和宣传教育工作。重点抓好计划生育、基层医疗卫生机构管理信息系统、“阳光医药”网上监察系统、药品（疫苗）电子监管系统等应用，建设好远程医疗系统。加快“阳光医药”网上监察系统建设和应用，贯彻落实行风建设“九不准”，坚决打击遏制药品购销领域的商业贿赂和不正之风。加大巡查工作力度，严肃查处违纪违法案件，严格实施责任追究，以“零容忍”态度惩治腐败。充分发挥县卫生计生网站、健康</w:t>
      </w:r>
      <w:r w:rsidR="00D51CB1">
        <w:rPr>
          <w:rFonts w:ascii="仿宋" w:eastAsia="仿宋" w:hAnsi="仿宋" w:hint="eastAsia"/>
          <w:color w:val="4F4F4F"/>
          <w:sz w:val="32"/>
          <w:szCs w:val="32"/>
        </w:rPr>
        <w:t>盈江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微信平台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作用，推进新型</w:t>
      </w:r>
      <w:hyperlink r:id="rId9" w:history="1">
        <w:r w:rsidR="00A56C8D"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人口</w:t>
        </w:r>
      </w:hyperlink>
      <w:hyperlink r:id="rId10" w:history="1">
        <w:r w:rsidR="00A56C8D"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健康</w:t>
        </w:r>
      </w:hyperlink>
      <w:r w:rsidR="00A56C8D">
        <w:rPr>
          <w:rFonts w:ascii="仿宋" w:eastAsia="仿宋" w:hAnsi="仿宋" w:hint="eastAsia"/>
          <w:color w:val="4F4F4F"/>
          <w:sz w:val="32"/>
          <w:szCs w:val="32"/>
        </w:rPr>
        <w:t>文化园建设，各乡镇要结合新农村建设至少建成1个卫生计生示范宣传阵地（人口与健康文化大院、广场、长廊、健康文化墙、书屋、活动室等）。通过医疗机构候诊大厅设置新媒体宣传平台、咨询台（室）、宣传橱窗、报刊和宣传品阅览架等形式，方便群众在就诊时学习了解有关健康科普知识，普及防病治病、优生优育等知识。继续在城乡人口密集或公共场所设置卫生计生政策法规、健康知识、卫生常识、优生优育、生殖健康、婚育新风、传统美德等内容，打造主题突出、特色鲜明、温馨美观的新型卫生计生户外宣传阵地。开展准妈妈、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优生优生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和生殖保健、慢性病和传染病、无烟生活、科学就医、心理健康等不同内容培训班，积极开展健康教育和健康指导。积极争取在党校（行政学校）开设“人口国情课堂”、“青春期健康课堂”、“慢病防治课堂”、“无烟生活课堂”等课程。</w:t>
      </w:r>
    </w:p>
    <w:p w:rsidR="00B10BF5" w:rsidRPr="00B10BF5" w:rsidRDefault="00A56C8D" w:rsidP="00B10BF5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三、部门基本情况</w:t>
      </w:r>
    </w:p>
    <w:p w:rsidR="00B10BF5" w:rsidRDefault="00B10BF5" w:rsidP="00B10BF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根据以上工作职责，盈江县卫生局设6个职能科室。  </w:t>
      </w:r>
    </w:p>
    <w:p w:rsidR="00B10BF5" w:rsidRDefault="00B10BF5" w:rsidP="00B10BF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下辖：防治艾滋病管理局、卫生监督大队、疾病预防控制中心、妇幼保健院、县人民医院、县中医院、社区卫生服务中心、太平中心卫生院、苏典乡卫生院、铜壁关乡卫生院、那邦镇中心卫生院、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弄璋镇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中心卫生院、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昔马镇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卫生院、新城乡卫生院，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芒章乡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卫生院、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勐弄乡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卫生院、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盏西镇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中心卫生院、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支那乡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卫生院、平原镇卫生院、平原镇社区卫生服务中心22家预算单位。</w:t>
      </w:r>
    </w:p>
    <w:p w:rsidR="00B10BF5" w:rsidRDefault="00B10BF5" w:rsidP="00B10BF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机关党委负责机关和下属单位的党群工作。</w:t>
      </w:r>
    </w:p>
    <w:p w:rsidR="00B10BF5" w:rsidRDefault="00B10BF5" w:rsidP="00B10BF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县卫生局核定行政编制19名，公务员14人，事业人员5人。</w:t>
      </w:r>
    </w:p>
    <w:p w:rsidR="00B10BF5" w:rsidRDefault="00B10BF5" w:rsidP="00B10BF5">
      <w:pPr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第二部分  决算表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cs="仿宋" w:hint="eastAsia"/>
          <w:sz w:val="32"/>
          <w:szCs w:val="32"/>
        </w:rPr>
        <w:t>一、收入支出决算批复表（取自决算软件批复表任务01表）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二、收入决算批复表（取自决算软件批复表任务02表）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三、支出决算批复表（取自决算软件批复表任务03表）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四、财政拨款收入支出决算批复表（取自决算软件批复表任务04表）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五、一般公共预算财政拨款收入支出决算批复表（取自决算软件批复表任务05表）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六、一般公共预算财政拨款基本支出决算批复表（取自决算软件批复表任务06表）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七、政府性基金预算财政拨款收入支出决算批复表（取自决算软件批复表任务07表）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八、财政专户管理资金收入支出决算批复表（取自决算软件批复表任务08表）</w:t>
      </w:r>
    </w:p>
    <w:p w:rsidR="00B10BF5" w:rsidRPr="00BF3E4B" w:rsidRDefault="00B10BF5" w:rsidP="00B10BF5">
      <w:pPr>
        <w:jc w:val="left"/>
        <w:rPr>
          <w:rFonts w:ascii="仿宋" w:eastAsia="仿宋" w:hAnsi="仿宋"/>
          <w:b/>
          <w:sz w:val="32"/>
          <w:szCs w:val="32"/>
        </w:rPr>
      </w:pPr>
      <w:r w:rsidRPr="00BF3E4B">
        <w:rPr>
          <w:rFonts w:ascii="仿宋" w:eastAsia="仿宋" w:hAnsi="仿宋" w:hint="eastAsia"/>
          <w:b/>
          <w:sz w:val="32"/>
          <w:szCs w:val="32"/>
        </w:rPr>
        <w:t>第三部门  卫生局2015年度部门决算情况说明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一、收入决算情况说明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二、支出决算情况说明</w:t>
      </w:r>
    </w:p>
    <w:p w:rsidR="00B10BF5" w:rsidRPr="00BF3E4B" w:rsidRDefault="00B10BF5" w:rsidP="00B10BF5">
      <w:pPr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三、公共预算财政拨款支出决算情况说明</w:t>
      </w:r>
    </w:p>
    <w:p w:rsidR="00B10BF5" w:rsidRPr="00BF3E4B" w:rsidRDefault="00B10BF5" w:rsidP="00B10BF5">
      <w:pPr>
        <w:widowControl/>
        <w:snapToGrid w:val="0"/>
        <w:spacing w:before="100" w:after="100" w:line="360" w:lineRule="auto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四、“三公”经费决算情况说明</w:t>
      </w:r>
    </w:p>
    <w:p w:rsidR="00B10BF5" w:rsidRPr="00BF3E4B" w:rsidRDefault="00B10BF5" w:rsidP="00B10BF5">
      <w:pPr>
        <w:widowControl/>
        <w:snapToGrid w:val="0"/>
        <w:spacing w:before="100" w:after="100" w:line="360" w:lineRule="auto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五、其他重要事项及相关口径情况说明</w:t>
      </w:r>
    </w:p>
    <w:p w:rsidR="00B10BF5" w:rsidRDefault="00B10BF5" w:rsidP="00B10BF5">
      <w:pPr>
        <w:widowControl/>
        <w:snapToGrid w:val="0"/>
        <w:spacing w:before="100" w:after="100"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第四部分  名词解释</w:t>
      </w:r>
    </w:p>
    <w:p w:rsidR="00B10BF5" w:rsidRDefault="00B10BF5" w:rsidP="00B10BF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第一部分  卫生局2015年度部门决算表</w:t>
      </w:r>
    </w:p>
    <w:p w:rsidR="00B10BF5" w:rsidRDefault="00B10BF5" w:rsidP="00B10BF5">
      <w:pPr>
        <w:spacing w:line="60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（见附件）</w:t>
      </w:r>
    </w:p>
    <w:p w:rsidR="00B10BF5" w:rsidRDefault="00B10BF5" w:rsidP="00B10BF5">
      <w:pPr>
        <w:spacing w:line="60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B10BF5" w:rsidRDefault="00B10BF5" w:rsidP="00B10BF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第二部门  卫生局2015年度部门决算情况说明</w:t>
      </w:r>
    </w:p>
    <w:p w:rsidR="00B10BF5" w:rsidRPr="00BF3E4B" w:rsidRDefault="00B10BF5" w:rsidP="00BF3E4B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BF3E4B">
        <w:rPr>
          <w:rFonts w:ascii="仿宋" w:eastAsia="仿宋" w:hAnsi="仿宋" w:hint="eastAsia"/>
          <w:b/>
          <w:sz w:val="32"/>
          <w:szCs w:val="32"/>
        </w:rPr>
        <w:t>一、收入决算情况说明</w:t>
      </w:r>
    </w:p>
    <w:p w:rsidR="00B10BF5" w:rsidRPr="00BF3E4B" w:rsidRDefault="00B10BF5" w:rsidP="00B10BF5">
      <w:pPr>
        <w:widowControl/>
        <w:snapToGrid w:val="0"/>
        <w:spacing w:before="100" w:after="100" w:line="600" w:lineRule="exact"/>
        <w:ind w:firstLine="538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2015年卫生局部门（单位）决算总收入2744.38万元，其中：财政拨款收入2744.38万元，占总收入的100%。</w:t>
      </w:r>
    </w:p>
    <w:p w:rsidR="00B10BF5" w:rsidRPr="00BF3E4B" w:rsidRDefault="00B10BF5" w:rsidP="00B10BF5">
      <w:pPr>
        <w:widowControl/>
        <w:snapToGrid w:val="0"/>
        <w:spacing w:before="100" w:after="100" w:line="600" w:lineRule="exact"/>
        <w:ind w:firstLine="538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（各部门可结合实际制作收入占比分布图表）</w:t>
      </w:r>
    </w:p>
    <w:p w:rsidR="00B10BF5" w:rsidRDefault="00B10BF5" w:rsidP="00B10BF5">
      <w:pPr>
        <w:jc w:val="lef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二、支出决算情况说明</w:t>
      </w:r>
    </w:p>
    <w:p w:rsidR="00B10BF5" w:rsidRPr="00BF3E4B" w:rsidRDefault="00B10BF5" w:rsidP="00BF3E4B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部门决算总支出</w:t>
      </w:r>
      <w:r w:rsidRPr="00BF3E4B">
        <w:rPr>
          <w:rFonts w:ascii="仿宋" w:eastAsia="仿宋" w:hAnsi="仿宋" w:hint="eastAsia"/>
          <w:sz w:val="32"/>
          <w:szCs w:val="32"/>
        </w:rPr>
        <w:t>1957.45万元，其中：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基本支出207.76万元，占总支出的</w:t>
      </w:r>
      <w:r w:rsidRPr="00BF3E4B">
        <w:rPr>
          <w:rFonts w:ascii="仿宋" w:eastAsia="仿宋" w:hAnsi="仿宋" w:hint="eastAsia"/>
          <w:sz w:val="32"/>
          <w:szCs w:val="32"/>
        </w:rPr>
        <w:t>10.61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％；项目支出</w:t>
      </w:r>
      <w:r w:rsidRPr="00BF3E4B">
        <w:rPr>
          <w:rFonts w:ascii="仿宋" w:eastAsia="仿宋" w:hAnsi="仿宋" w:hint="eastAsia"/>
          <w:sz w:val="32"/>
          <w:szCs w:val="32"/>
        </w:rPr>
        <w:t>1749.69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万元，占总支出的</w:t>
      </w:r>
      <w:r w:rsidRPr="00BF3E4B">
        <w:rPr>
          <w:rFonts w:ascii="仿宋" w:eastAsia="仿宋" w:hAnsi="仿宋" w:hint="eastAsia"/>
          <w:sz w:val="32"/>
          <w:szCs w:val="32"/>
        </w:rPr>
        <w:t>89.39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 xml:space="preserve">％. </w:t>
      </w:r>
    </w:p>
    <w:p w:rsidR="00B10BF5" w:rsidRPr="00BF3E4B" w:rsidRDefault="00B10BF5" w:rsidP="00BF3E4B">
      <w:pPr>
        <w:widowControl/>
        <w:snapToGrid w:val="0"/>
        <w:spacing w:before="100" w:after="100"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（一）基本支出情况。基本支出207.76万元，其中：2016年用于社会保障和就业支出76.54万元，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占基本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>支出的36.83％；医疗卫生与计划生育支出120.76万元（其中：行政运行支出78.11万元，其他医疗机构与计划生育管理事务支出26.44万元，其他基层医疗卫生机构支出16.2万元），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占基本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>支出的58.11%；住房保障支出10.46万元，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占基本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>支出的5%。</w:t>
      </w:r>
    </w:p>
    <w:p w:rsidR="00B10BF5" w:rsidRPr="00BF3E4B" w:rsidRDefault="00B10BF5" w:rsidP="00BF3E4B">
      <w:pPr>
        <w:widowControl/>
        <w:snapToGrid w:val="0"/>
        <w:spacing w:before="100" w:after="100"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（二）项目支出情况。项目支出1749.69万元，2016年用于一般公共支出1万元，占项目支出的0.06%；社会保障和就业支出83.70万元（其中：自然灾害后重建补助68.7万元，其他自然灾害生活救助支出15万元），占项目支出的4.78%；医疗卫生与计划生育管理事务支出1664.99万元（其中：医疗卫生与计划生育管理事务支出5.15万元，公立医院支出80万元，基层医疗卫生机构支出1181.6万元，其他医疗卫生与计划生育支出40万元），占项目支出的95.16%。</w:t>
      </w:r>
    </w:p>
    <w:p w:rsidR="00B10BF5" w:rsidRDefault="00B10BF5" w:rsidP="00B10BF5">
      <w:pPr>
        <w:widowControl/>
        <w:snapToGrid w:val="0"/>
        <w:spacing w:before="100" w:after="100" w:line="600" w:lineRule="exact"/>
        <w:ind w:firstLineChars="200" w:firstLine="60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三、公共预算财政拨款支出决算情况说明</w:t>
      </w:r>
    </w:p>
    <w:p w:rsidR="00B10BF5" w:rsidRPr="00BF3E4B" w:rsidRDefault="00B10BF5" w:rsidP="00B10BF5">
      <w:pPr>
        <w:widowControl/>
        <w:snapToGrid w:val="0"/>
        <w:spacing w:before="100" w:after="100" w:line="360" w:lineRule="auto"/>
        <w:ind w:firstLine="538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年部门公共预算财政拨款支出1957.45万元,占本年支出合计100%。按支出功能分类主要用于以下方面：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（一）一般公共服务支出1万元，主要用于培训费支出1万元；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（二）社会保障和就业支出160.23万元，主要用于行政事业单位离退休费支出76.53万元，房屋建筑物购建68.7万元，专用设备购置15万元；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（三）医疗卫生与计划生育支出1785.75万元，主要用于工资福利支出112.8万元，办公费0.85万元，</w:t>
      </w:r>
      <w:r w:rsidRPr="00BF3E4B">
        <w:rPr>
          <w:rFonts w:ascii="仿宋" w:eastAsia="仿宋" w:hAnsi="仿宋" w:cs="宋体" w:hint="eastAsia"/>
          <w:kern w:val="0"/>
          <w:sz w:val="32"/>
          <w:szCs w:val="32"/>
        </w:rPr>
        <w:t>印刷费4.29万元，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手续费0.08万元，水费0.03万元，差旅费2.03万元，培训费2.82万元，公务接待费0.05万元，工会经费1.73万元，公车维护费0.87万元，委托业务费912.74万元，生活补助支出12.86万元，房屋建筑物购建522.7万元，专用设备购置172万元，基础设施建设39.9万元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（四</w:t>
      </w:r>
      <w:r w:rsidRPr="00BF3E4B">
        <w:rPr>
          <w:rFonts w:ascii="仿宋" w:eastAsia="仿宋" w:hAnsi="仿宋" w:cs="Arial"/>
          <w:kern w:val="0"/>
          <w:sz w:val="32"/>
          <w:szCs w:val="32"/>
        </w:rPr>
        <w:t>）</w:t>
      </w:r>
      <w:r w:rsidRPr="00BF3E4B">
        <w:rPr>
          <w:rFonts w:ascii="仿宋" w:eastAsia="仿宋" w:hAnsi="仿宋" w:cs="Arial" w:hint="eastAsia"/>
          <w:kern w:val="0"/>
          <w:sz w:val="32"/>
          <w:szCs w:val="32"/>
        </w:rPr>
        <w:t>住房保障支出10.46万元，主要用于住房公积金支出10.46万元。</w:t>
      </w:r>
    </w:p>
    <w:p w:rsidR="00B10BF5" w:rsidRDefault="00B10BF5" w:rsidP="00B10BF5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四、“三公”经费决算情况说明</w:t>
      </w:r>
    </w:p>
    <w:p w:rsidR="00B10BF5" w:rsidRPr="00BF3E4B" w:rsidRDefault="00B10BF5" w:rsidP="00B10BF5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卫</w:t>
      </w:r>
      <w:r w:rsidRPr="00BF3E4B">
        <w:rPr>
          <w:rFonts w:ascii="仿宋" w:eastAsia="仿宋" w:hAnsi="仿宋" w:hint="eastAsia"/>
          <w:sz w:val="32"/>
          <w:szCs w:val="32"/>
        </w:rPr>
        <w:t>生局部门（单位）2015年财政拨款“三公”经费决算总额8.52万元，其中，公务用车购置及运行维护费支出0.87万元，公务接待费支出0.05万元，机关运行经费7.6万元。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2015年“三公”经费决算数比2014年决算数增加/减少0万元。具体情况如下：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（一）公务用车购置及运行维护费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年卫生局部门购置公务用车0辆，年末公务用车保有量2辆，公务用车购置及运行维护费0万元。其中：购置费0万元，比2014年决算增加/减少0万元；运行维护费0.87万元，主要用于保障盈江县工作产生的公务用车燃料费、维修费、过路过桥费、保险费等支出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（二）公务接待费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2015年卫生局部门（单位）共执行国内公务接待2批次，10人，接待费开支0.05万元。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（三）机关运行经费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hint="eastAsia"/>
          <w:sz w:val="32"/>
          <w:szCs w:val="32"/>
        </w:rPr>
        <w:t>2015年卫生局机关运行经费7.6万元。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BF3E4B">
        <w:rPr>
          <w:rFonts w:ascii="仿宋" w:eastAsia="仿宋" w:hAnsi="仿宋" w:hint="eastAsia"/>
          <w:b/>
          <w:sz w:val="32"/>
          <w:szCs w:val="32"/>
        </w:rPr>
        <w:t>五、其他重要事项及相关口径情况说明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1、</w:t>
      </w:r>
      <w:r w:rsidRPr="00BF3E4B">
        <w:rPr>
          <w:rFonts w:ascii="仿宋" w:eastAsia="仿宋" w:hAnsi="仿宋" w:hint="eastAsia"/>
          <w:sz w:val="32"/>
          <w:szCs w:val="32"/>
        </w:rPr>
        <w:t>基本支出中人员经费包括工资福利支出和对个人和家庭的补助，日常公用支出包括商品和服务支出、其他资本性支出等人员经费以外的支出。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2、</w:t>
      </w:r>
      <w:r w:rsidRPr="00BF3E4B">
        <w:rPr>
          <w:rFonts w:ascii="仿宋" w:eastAsia="仿宋" w:hAnsi="仿宋" w:hint="eastAsia"/>
          <w:sz w:val="32"/>
          <w:szCs w:val="32"/>
        </w:rPr>
        <w:t>“三公”经费：按照党中央、国务院有关文件及部门预算管理有关</w:t>
      </w:r>
      <w:r w:rsidRPr="00BF3E4B">
        <w:rPr>
          <w:rFonts w:ascii="仿宋" w:eastAsia="仿宋" w:hAnsi="仿宋" w:hint="eastAsia"/>
          <w:color w:val="000000"/>
          <w:sz w:val="32"/>
          <w:szCs w:val="32"/>
        </w:rPr>
        <w:t>规定，纳入财政预决算管理的“三公”经费，是指用财政拨款安排的</w:t>
      </w:r>
      <w:r w:rsidRPr="00BF3E4B">
        <w:rPr>
          <w:rFonts w:ascii="仿宋" w:eastAsia="仿宋" w:hAnsi="仿宋" w:hint="eastAsia"/>
          <w:sz w:val="32"/>
          <w:szCs w:val="32"/>
        </w:rPr>
        <w:t>因公出国（境）费、公务用车购置及运行费和公务接待费。其中，因公出国（境）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费反映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>单位公务出国（境）的住宿费、旅费、伙食补助费、杂费、培训费等支出；公务用车购置及运行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费反映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>单位公务用车购置费及租用费、燃料费、维修费、过路过桥费、保险费、安全奖励费用等支出；公务接待</w:t>
      </w:r>
      <w:proofErr w:type="gramStart"/>
      <w:r w:rsidRPr="00BF3E4B">
        <w:rPr>
          <w:rFonts w:ascii="仿宋" w:eastAsia="仿宋" w:hAnsi="仿宋" w:hint="eastAsia"/>
          <w:sz w:val="32"/>
          <w:szCs w:val="32"/>
        </w:rPr>
        <w:t>费反映</w:t>
      </w:r>
      <w:proofErr w:type="gramEnd"/>
      <w:r w:rsidRPr="00BF3E4B">
        <w:rPr>
          <w:rFonts w:ascii="仿宋" w:eastAsia="仿宋" w:hAnsi="仿宋" w:hint="eastAsia"/>
          <w:sz w:val="32"/>
          <w:szCs w:val="32"/>
        </w:rPr>
        <w:t xml:space="preserve">单位按规定开支的各类公务接待（含外宾接待）支出。        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F3E4B">
        <w:rPr>
          <w:rFonts w:ascii="仿宋" w:eastAsia="仿宋" w:hAnsi="仿宋" w:cs="Arial" w:hint="eastAsia"/>
          <w:kern w:val="0"/>
          <w:sz w:val="32"/>
          <w:szCs w:val="32"/>
        </w:rPr>
        <w:t>3、</w:t>
      </w:r>
      <w:r w:rsidRPr="00BF3E4B">
        <w:rPr>
          <w:rFonts w:ascii="仿宋" w:eastAsia="仿宋" w:hAnsi="仿宋" w:hint="eastAsia"/>
          <w:sz w:val="32"/>
          <w:szCs w:val="32"/>
        </w:rPr>
        <w:t>“三公”经费决算数：指市级各部门（含下属单位）用</w:t>
      </w:r>
      <w:r w:rsidRPr="00BF3E4B">
        <w:rPr>
          <w:rFonts w:ascii="仿宋" w:eastAsia="仿宋" w:hAnsi="仿宋" w:hint="eastAsia"/>
          <w:color w:val="000000"/>
          <w:sz w:val="32"/>
          <w:szCs w:val="32"/>
        </w:rPr>
        <w:t>财政拨款（</w:t>
      </w:r>
      <w:r w:rsidRPr="00BF3E4B">
        <w:rPr>
          <w:rFonts w:ascii="仿宋" w:eastAsia="仿宋" w:hAnsi="仿宋" w:hint="eastAsia"/>
          <w:sz w:val="32"/>
          <w:szCs w:val="32"/>
        </w:rPr>
        <w:t>含上年结转结余和当年预算）安排的因公出国（境）费、公务用车购置及运行维护费和公务接待费支出数。</w:t>
      </w:r>
    </w:p>
    <w:p w:rsidR="00B10BF5" w:rsidRPr="00BF3E4B" w:rsidRDefault="00B10BF5" w:rsidP="00BF3E4B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10BF5" w:rsidRDefault="00B10BF5" w:rsidP="00B10BF5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223F69" w:rsidRPr="00B10BF5" w:rsidRDefault="00223F69"/>
    <w:sectPr w:rsidR="00223F69" w:rsidRPr="00B10BF5" w:rsidSect="0022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9B" w:rsidRDefault="005E5D9B" w:rsidP="005E5D9B">
      <w:r>
        <w:separator/>
      </w:r>
    </w:p>
  </w:endnote>
  <w:endnote w:type="continuationSeparator" w:id="0">
    <w:p w:rsidR="005E5D9B" w:rsidRDefault="005E5D9B" w:rsidP="005E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9B" w:rsidRDefault="005E5D9B" w:rsidP="005E5D9B">
      <w:r>
        <w:separator/>
      </w:r>
    </w:p>
  </w:footnote>
  <w:footnote w:type="continuationSeparator" w:id="0">
    <w:p w:rsidR="005E5D9B" w:rsidRDefault="005E5D9B" w:rsidP="005E5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AF9AA"/>
    <w:multiLevelType w:val="singleLevel"/>
    <w:tmpl w:val="581AF9A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C8D"/>
    <w:rsid w:val="0008290C"/>
    <w:rsid w:val="00223F69"/>
    <w:rsid w:val="002A1BBE"/>
    <w:rsid w:val="005E5D9B"/>
    <w:rsid w:val="00673173"/>
    <w:rsid w:val="007A6D34"/>
    <w:rsid w:val="007D27EB"/>
    <w:rsid w:val="008B35BC"/>
    <w:rsid w:val="00A250FD"/>
    <w:rsid w:val="00A478FB"/>
    <w:rsid w:val="00A56C8D"/>
    <w:rsid w:val="00A863AF"/>
    <w:rsid w:val="00B10BF5"/>
    <w:rsid w:val="00BF3E4B"/>
    <w:rsid w:val="00C2077F"/>
    <w:rsid w:val="00C43B87"/>
    <w:rsid w:val="00C73A4B"/>
    <w:rsid w:val="00CF585F"/>
    <w:rsid w:val="00D51CB1"/>
    <w:rsid w:val="00DB1996"/>
    <w:rsid w:val="00F273FB"/>
    <w:rsid w:val="00F82715"/>
    <w:rsid w:val="00F85E3F"/>
    <w:rsid w:val="00FC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C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56C8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5D9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5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shys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stime.com.cn/i/liangxing/20150718/517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stime.com.cn/i/licai/20150717/4107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CCAB9-FC5E-4B76-AD75-597EDD13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用户余聪鸾</dc:creator>
  <cp:lastModifiedBy>用户余聪鸾</cp:lastModifiedBy>
  <cp:revision>18</cp:revision>
  <dcterms:created xsi:type="dcterms:W3CDTF">2016-12-19T09:42:00Z</dcterms:created>
  <dcterms:modified xsi:type="dcterms:W3CDTF">2016-12-19T12:12:00Z</dcterms:modified>
</cp:coreProperties>
</file>