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bookmarkStart w:id="0" w:name="_Toc20179"/>
      <w:bookmarkStart w:id="1" w:name="_Toc10211"/>
      <w:bookmarkStart w:id="2" w:name="_Toc23341"/>
      <w:bookmarkStart w:id="3" w:name="_Toc13962"/>
      <w:bookmarkStart w:id="4" w:name="_Toc16526"/>
      <w:bookmarkStart w:id="5" w:name="_Toc29328"/>
      <w:r>
        <w:rPr>
          <w:rFonts w:hint="eastAsia"/>
          <w:color w:val="000000"/>
        </w:rPr>
        <w:pict>
          <v:shape id="AutoShape 3" o:spid="_x0000_s1026" o:spt="136" type="#_x0000_t136" style="position:absolute;left:0pt;margin-left:26.8pt;margin-top:-1.95pt;height:42.5pt;width:141.75pt;z-index:251692032;mso-width-relative:page;mso-height-relative:page;" fillcolor="#969696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BSZN" style="font-family:Modern No. 20;font-size:36pt;font-weight:bold;v-text-align:center;"/>
            <v:shadow on="t" color="#000000" offset="2pt,-2pt" offset2="-8pt,8pt"/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bookmarkStart w:id="6" w:name="_Toc378144123"/>
      <w:bookmarkStart w:id="7" w:name="_Toc378144530"/>
      <w:bookmarkStart w:id="8" w:name="_Toc378316683"/>
      <w:bookmarkStart w:id="9" w:name="_Toc378174651"/>
      <w:bookmarkStart w:id="10" w:name="_Toc378521107"/>
      <w:bookmarkStart w:id="11" w:name="_Toc378520872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BSZN-0000-201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黑体" w:hAnsi="黑体" w:eastAsia="黑体" w:cs="黑体"/>
          <w:color w:val="000000"/>
          <w:sz w:val="24"/>
          <w:szCs w:val="24"/>
        </w:rPr>
        <w:t>6</w:t>
      </w: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both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  <w:lang w:eastAsia="zh-CN"/>
        </w:rPr>
        <w:t>文艺表演团体设立审批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  <w:t>办事指南</w:t>
      </w: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kern w:val="1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盈江</w:t>
      </w:r>
      <w:r>
        <w:rPr>
          <w:rFonts w:hint="eastAsia" w:ascii="黑体" w:hAnsi="黑体" w:eastAsia="黑体"/>
          <w:color w:val="000000"/>
          <w:sz w:val="24"/>
          <w:szCs w:val="24"/>
        </w:rPr>
        <w:t>县文体广电旅游局</w:t>
      </w:r>
    </w:p>
    <w:p>
      <w:pPr>
        <w:spacing w:after="1415"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2016年9月20日发布</w:t>
      </w:r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</w:rPr>
      </w:pPr>
    </w:p>
    <w:bookmarkEnd w:id="0"/>
    <w:bookmarkEnd w:id="1"/>
    <w:bookmarkEnd w:id="2"/>
    <w:bookmarkEnd w:id="3"/>
    <w:bookmarkEnd w:id="4"/>
    <w:bookmarkEnd w:id="5"/>
    <w:p>
      <w:pPr>
        <w:spacing w:line="80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bookmarkStart w:id="12" w:name="_Toc340567021"/>
      <w:bookmarkStart w:id="13" w:name="_Toc340566830"/>
      <w:bookmarkStart w:id="14" w:name="_Toc340563848"/>
      <w:bookmarkStart w:id="15" w:name="_Toc341098449"/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  <w:lang w:eastAsia="zh-CN"/>
        </w:rPr>
        <w:t>文艺表演团体设立审批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  <w:t>办事指南</w:t>
      </w:r>
    </w:p>
    <w:p>
      <w:pPr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sz w:val="21"/>
          <w:szCs w:val="21"/>
        </w:rPr>
      </w:pPr>
      <w:r>
        <w:rPr>
          <w:rFonts w:hint="eastAsia" w:ascii="黑体" w:eastAsia="黑体"/>
          <w:b w:val="0"/>
          <w:bCs w:val="0"/>
          <w:sz w:val="21"/>
          <w:szCs w:val="21"/>
        </w:rPr>
        <w:t>一、</w:t>
      </w:r>
      <w:r>
        <w:rPr>
          <w:rFonts w:hint="eastAsia" w:ascii="黑体" w:eastAsia="黑体"/>
          <w:b w:val="0"/>
          <w:bCs w:val="0"/>
          <w:sz w:val="21"/>
          <w:szCs w:val="21"/>
          <w:lang w:eastAsia="zh-CN"/>
        </w:rPr>
        <w:t>受理</w:t>
      </w:r>
      <w:r>
        <w:rPr>
          <w:rFonts w:hint="eastAsia" w:ascii="黑体" w:eastAsia="黑体"/>
          <w:b w:val="0"/>
          <w:bCs w:val="0"/>
          <w:sz w:val="21"/>
          <w:szCs w:val="21"/>
        </w:rPr>
        <w:t>范围</w:t>
      </w:r>
      <w:bookmarkEnd w:id="12"/>
      <w:bookmarkEnd w:id="13"/>
      <w:bookmarkEnd w:id="14"/>
      <w:bookmarkEnd w:id="15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本指南适用于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盈江县区域内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设立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文艺表演团体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申请。</w:t>
      </w:r>
      <w:bookmarkStart w:id="16" w:name="_Toc341098450"/>
      <w:bookmarkStart w:id="17" w:name="_Toc340566831"/>
      <w:bookmarkStart w:id="18" w:name="_Toc340563849"/>
      <w:bookmarkStart w:id="19" w:name="_Toc340567022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设立、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变更、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延续、注销、补证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bookmarkEnd w:id="16"/>
    <w:bookmarkEnd w:id="17"/>
    <w:bookmarkEnd w:id="18"/>
    <w:bookmarkEnd w:id="19"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eastAsia="黑体"/>
          <w:b w:val="0"/>
          <w:bCs w:val="0"/>
          <w:sz w:val="21"/>
          <w:szCs w:val="21"/>
          <w:lang w:eastAsia="zh-CN"/>
        </w:rPr>
        <w:t>申请条件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新办（首次）许可批准条件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60" w:lineRule="exact"/>
        <w:ind w:left="0" w:leftChars="0" w:right="0" w:rightChars="0" w:firstLine="42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有与其演出业务相适应的专职演员和器材设备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6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hAnsi="宋体" w:eastAsia="宋体" w:cs="宋体"/>
          <w:b/>
          <w:bCs/>
          <w:sz w:val="21"/>
          <w:szCs w:val="21"/>
          <w:lang w:eastAsia="zh-CN"/>
        </w:rPr>
        <w:t>（二</w:t>
      </w:r>
      <w:r>
        <w:rPr>
          <w:rFonts w:hint="eastAsia" w:hAnsi="宋体" w:eastAsia="宋体" w:cs="宋体"/>
          <w:b/>
          <w:bCs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延续许可批准条件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60" w:lineRule="exact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许可有效期满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30天内。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6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hAnsi="宋体" w:eastAsia="宋体" w:cs="宋体"/>
          <w:b/>
          <w:bCs/>
          <w:sz w:val="21"/>
          <w:szCs w:val="21"/>
          <w:lang w:val="en-US" w:eastAsia="zh-CN"/>
        </w:rPr>
        <w:t xml:space="preserve">   （三）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依申请变更许可批准条件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1.变更演员，重新核发经营许可证。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2.变更名称/法定代表人/主要负责人/投资人，取得变更后的工商营业执照。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（四）补正许可的批准条件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申请人应在县级以上媒体刊登《营业性演出许可证》遗失公告，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2.提供营业执照副本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（五）依申请注销许可批准条件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法定代表人或主要负责人提出注销申请。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sz w:val="21"/>
          <w:szCs w:val="21"/>
        </w:rPr>
      </w:pPr>
      <w:bookmarkStart w:id="20" w:name="_Toc340563851"/>
      <w:bookmarkStart w:id="21" w:name="_Toc340567024"/>
      <w:bookmarkStart w:id="22" w:name="_Toc340566833"/>
      <w:bookmarkStart w:id="23" w:name="_Toc341098451"/>
      <w:r>
        <w:rPr>
          <w:rFonts w:hint="eastAsia" w:ascii="黑体" w:eastAsia="黑体"/>
          <w:b w:val="0"/>
          <w:bCs w:val="0"/>
          <w:sz w:val="21"/>
          <w:szCs w:val="21"/>
        </w:rPr>
        <w:t>三、</w:t>
      </w:r>
      <w:bookmarkEnd w:id="20"/>
      <w:bookmarkEnd w:id="21"/>
      <w:bookmarkEnd w:id="22"/>
      <w:bookmarkEnd w:id="23"/>
      <w:r>
        <w:rPr>
          <w:rFonts w:hint="eastAsia" w:ascii="黑体" w:eastAsia="黑体"/>
          <w:b w:val="0"/>
          <w:bCs w:val="0"/>
          <w:sz w:val="21"/>
          <w:szCs w:val="21"/>
          <w:lang w:eastAsia="zh-CN"/>
        </w:rPr>
        <w:t>受理地点和办事窗口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24" w:name="_Toc340566834"/>
      <w:bookmarkStart w:id="25" w:name="_Toc341098452"/>
      <w:bookmarkStart w:id="26" w:name="_Toc340567025"/>
      <w:bookmarkStart w:id="27" w:name="_Toc340563852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受理地点：盈江县目瑙纵歌路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办事窗口：盈江县政务服务管理中心文体广电旅游局窗口。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办公时间：周一至周五，上午8: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0-1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0，下午14:30-1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sz w:val="21"/>
          <w:szCs w:val="21"/>
        </w:rPr>
      </w:pPr>
      <w:r>
        <w:rPr>
          <w:rFonts w:hint="eastAsia" w:ascii="黑体" w:eastAsia="黑体"/>
          <w:b w:val="0"/>
          <w:bCs w:val="0"/>
          <w:sz w:val="21"/>
          <w:szCs w:val="21"/>
        </w:rPr>
        <w:t>四、</w:t>
      </w:r>
      <w:bookmarkEnd w:id="24"/>
      <w:bookmarkEnd w:id="25"/>
      <w:bookmarkEnd w:id="26"/>
      <w:bookmarkEnd w:id="27"/>
      <w:r>
        <w:rPr>
          <w:rFonts w:hint="eastAsia" w:ascii="黑体" w:eastAsia="黑体"/>
          <w:b w:val="0"/>
          <w:bCs w:val="0"/>
          <w:sz w:val="21"/>
          <w:szCs w:val="21"/>
          <w:lang w:eastAsia="zh-CN"/>
        </w:rPr>
        <w:t>申请材料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6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文艺表演团体许可材料清单目录</w:t>
      </w:r>
    </w:p>
    <w:tbl>
      <w:tblPr>
        <w:tblStyle w:val="8"/>
        <w:tblW w:w="8659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"/>
        <w:gridCol w:w="4245"/>
        <w:gridCol w:w="900"/>
        <w:gridCol w:w="975"/>
        <w:gridCol w:w="360"/>
        <w:gridCol w:w="375"/>
        <w:gridCol w:w="330"/>
        <w:gridCol w:w="435"/>
        <w:gridCol w:w="360"/>
        <w:gridCol w:w="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2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提交材料名称</w:t>
            </w:r>
          </w:p>
        </w:tc>
        <w:tc>
          <w:tcPr>
            <w:tcW w:w="90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/复印件</w:t>
            </w:r>
          </w:p>
        </w:tc>
        <w:tc>
          <w:tcPr>
            <w:tcW w:w="9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/电子文件</w:t>
            </w:r>
          </w:p>
        </w:tc>
        <w:tc>
          <w:tcPr>
            <w:tcW w:w="3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份数</w:t>
            </w:r>
          </w:p>
        </w:tc>
        <w:tc>
          <w:tcPr>
            <w:tcW w:w="3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新办</w:t>
            </w:r>
          </w:p>
        </w:tc>
        <w:tc>
          <w:tcPr>
            <w:tcW w:w="33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延续</w:t>
            </w:r>
          </w:p>
        </w:tc>
        <w:tc>
          <w:tcPr>
            <w:tcW w:w="4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变更</w:t>
            </w:r>
          </w:p>
        </w:tc>
        <w:tc>
          <w:tcPr>
            <w:tcW w:w="36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补正</w:t>
            </w:r>
          </w:p>
        </w:tc>
        <w:tc>
          <w:tcPr>
            <w:tcW w:w="34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2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申请书</w:t>
            </w:r>
          </w:p>
        </w:tc>
        <w:tc>
          <w:tcPr>
            <w:tcW w:w="9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clear" w:pos="4201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3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4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2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营业执照</w:t>
            </w:r>
          </w:p>
        </w:tc>
        <w:tc>
          <w:tcPr>
            <w:tcW w:w="9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9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clear" w:pos="4201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3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4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3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2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定代表人或者主要负责人身份证明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复印件</w:t>
            </w:r>
          </w:p>
        </w:tc>
        <w:tc>
          <w:tcPr>
            <w:tcW w:w="9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9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3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4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2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演员的艺术表演能力证明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及身份证明复印件</w:t>
            </w:r>
          </w:p>
        </w:tc>
        <w:tc>
          <w:tcPr>
            <w:tcW w:w="9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9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3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4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2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《营业性演出许可证》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副本</w:t>
            </w:r>
          </w:p>
        </w:tc>
        <w:tc>
          <w:tcPr>
            <w:tcW w:w="9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3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6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4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hAnsi="宋体" w:eastAsia="宋体" w:cs="宋体"/>
          <w:b w:val="0"/>
          <w:bCs w:val="0"/>
          <w:sz w:val="21"/>
          <w:szCs w:val="21"/>
          <w:lang w:eastAsia="zh-CN"/>
        </w:rPr>
        <w:t>注：以上条件材料均用</w:t>
      </w:r>
      <w:r>
        <w:rPr>
          <w:rFonts w:hint="eastAsia" w:hAnsi="宋体" w:eastAsia="宋体" w:cs="宋体"/>
          <w:b w:val="0"/>
          <w:bCs w:val="0"/>
          <w:sz w:val="21"/>
          <w:szCs w:val="21"/>
          <w:lang w:val="en-US" w:eastAsia="zh-CN"/>
        </w:rPr>
        <w:t>A4纸张，复印件同时加盖公章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五、审批时限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法定时限：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20个工作日，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承诺时限：材料齐全当天办结。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bookmarkStart w:id="28" w:name="_Toc340566845"/>
      <w:bookmarkStart w:id="29" w:name="_Toc341098455"/>
      <w:bookmarkStart w:id="30" w:name="_Toc340567036"/>
      <w:bookmarkStart w:id="31" w:name="_Toc340563863"/>
      <w:r>
        <w:rPr>
          <w:rFonts w:hint="eastAsia" w:ascii="黑体" w:eastAsia="黑体"/>
          <w:b w:val="0"/>
          <w:bCs w:val="0"/>
          <w:sz w:val="21"/>
          <w:szCs w:val="21"/>
          <w:lang w:eastAsia="zh-CN"/>
        </w:rPr>
        <w:t>六</w:t>
      </w:r>
      <w:r>
        <w:rPr>
          <w:rFonts w:hint="eastAsia" w:ascii="黑体" w:eastAsia="黑体"/>
          <w:b w:val="0"/>
          <w:bCs w:val="0"/>
          <w:sz w:val="21"/>
          <w:szCs w:val="21"/>
        </w:rPr>
        <w:t>、</w:t>
      </w:r>
      <w:bookmarkEnd w:id="28"/>
      <w:bookmarkEnd w:id="29"/>
      <w:bookmarkEnd w:id="30"/>
      <w:bookmarkEnd w:id="31"/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审批收费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不收费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七、审批结果及送达方式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审批结果：《营业性演出许可证》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送达方式：直接领取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文体广电旅游局办事窗口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八、咨询及监督渠道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咨询电话：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0692-8119121，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文体广电旅游局办事窗口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监督电话：0692-8119130  8180352</w:t>
      </w:r>
    </w:p>
    <w:p>
      <w:pPr>
        <w:pStyle w:val="9"/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地址：盈江县永盛路花园巷11号文体广电旅游局。</w:t>
      </w:r>
    </w:p>
    <w:p>
      <w:pPr>
        <w:spacing w:line="260" w:lineRule="atLeast"/>
        <w:ind w:left="422"/>
        <w:rPr>
          <w:rFonts w:hint="eastAsia" w:ascii="黑体" w:hAnsi="黑体" w:eastAsia="黑体" w:cs="黑体"/>
          <w:b/>
          <w:bCs w:val="0"/>
          <w:kern w:val="0"/>
          <w:szCs w:val="21"/>
        </w:rPr>
      </w:pPr>
      <w:r>
        <w:rPr>
          <w:rFonts w:hint="eastAsia" w:ascii="黑体" w:hAnsi="黑体" w:eastAsia="黑体" w:cs="黑体"/>
          <w:b/>
          <w:bCs w:val="0"/>
          <w:kern w:val="0"/>
          <w:szCs w:val="21"/>
        </w:rPr>
        <w:t>九、文书表单及办事指南下载</w:t>
      </w:r>
    </w:p>
    <w:p>
      <w:pPr>
        <w:spacing w:line="260" w:lineRule="atLeast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下载地址：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文艺表演团体设立审批</w:t>
      </w:r>
      <w:r>
        <w:rPr>
          <w:rFonts w:hint="eastAsia" w:ascii="宋体" w:hAnsi="宋体" w:cs="宋体"/>
          <w:szCs w:val="21"/>
        </w:rPr>
        <w:t>许可”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spacing w:line="260" w:lineRule="atLeast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直接领取：盈江县政务服务中心文体广电旅游局窗口</w:t>
      </w:r>
    </w:p>
    <w:p>
      <w:pPr>
        <w:spacing w:line="260" w:lineRule="atLeast"/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网上服务大厅地址：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文艺表演团体设立审批</w:t>
      </w:r>
      <w:r>
        <w:rPr>
          <w:rFonts w:hint="eastAsia" w:ascii="宋体" w:hAnsi="宋体" w:cs="宋体"/>
          <w:szCs w:val="21"/>
        </w:rPr>
        <w:t>许可”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pStyle w:val="9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9230" cy="5234305"/>
            <wp:effectExtent l="0" t="0" r="7620" b="4445"/>
            <wp:docPr id="4" name="图片 4" descr="QQ截图2016092811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609281116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9230" cy="5234305"/>
            <wp:effectExtent l="0" t="0" r="7620" b="4445"/>
            <wp:docPr id="2" name="图片 2" descr="QQ截图2016092811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609281116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5234305"/>
            <wp:effectExtent l="0" t="0" r="7620" b="4445"/>
            <wp:docPr id="5" name="图片 5" descr="QQ截图2016092811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1609281116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2" w:name="_GoBack"/>
      <w:bookmarkEnd w:id="32"/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4FC4"/>
    <w:multiLevelType w:val="singleLevel"/>
    <w:tmpl w:val="57E34FC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D0DEB"/>
    <w:rsid w:val="012943BF"/>
    <w:rsid w:val="12FB3DB7"/>
    <w:rsid w:val="16C45810"/>
    <w:rsid w:val="18102763"/>
    <w:rsid w:val="2FCD0DEB"/>
    <w:rsid w:val="444A7B24"/>
    <w:rsid w:val="45FA334F"/>
    <w:rsid w:val="5B5B54D5"/>
    <w:rsid w:val="6545223B"/>
    <w:rsid w:val="6AC921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color w:val="CC000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customStyle="1" w:styleId="10">
    <w:name w:val="要求"/>
    <w:basedOn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="200" w:leftChars="200" w:firstLine="200" w:firstLineChars="200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2016-09-19T06:27:00Z</dcterms:created>
  <dc:creator>Administrator</dc:creator>
  <cp:lastModifiedBy>Administrator</cp:lastModifiedBy>
  <dcterms:modified xsi:type="dcterms:W3CDTF">2016-09-28T03:17:18Z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