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bookmarkStart w:id="0" w:name="_Toc18372"/>
      <w:bookmarkStart w:id="1" w:name="_Toc25148"/>
      <w:bookmarkStart w:id="2" w:name="_Toc31125"/>
      <w:bookmarkStart w:id="3" w:name="_Toc7235"/>
      <w:bookmarkStart w:id="4" w:name="_Toc27556"/>
      <w:bookmarkStart w:id="5" w:name="_Toc5844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pict>
          <v:shape id="AutoShape 3" o:spid="_x0000_s1026" o:spt="136" type="#_x0000_t136" style="position:absolute;left:0pt;margin-left:26.8pt;margin-top:-17.55pt;height:42.5pt;width:141.75pt;z-index:251692032;mso-width-relative:page;mso-height-relative:page;" fillcolor="#969696" filled="t" stroked="t" coordsize="21600,216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bookmarkStart w:id="6" w:name="_Toc378520872"/>
      <w:bookmarkStart w:id="7" w:name="_Toc378316683"/>
      <w:bookmarkStart w:id="8" w:name="_Toc378144530"/>
      <w:bookmarkStart w:id="9" w:name="_Toc378521107"/>
      <w:bookmarkStart w:id="10" w:name="_Toc378174651"/>
      <w:bookmarkStart w:id="11" w:name="_Toc378144123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BSZN-0000-201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黑体" w:hAnsi="黑体" w:eastAsia="黑体" w:cs="黑体"/>
          <w:color w:val="000000"/>
          <w:sz w:val="24"/>
          <w:szCs w:val="24"/>
        </w:rPr>
        <w:t>6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both"/>
        <w:rPr>
          <w:rFonts w:hint="eastAsia" w:ascii="方正小标宋简体" w:hAnsi="黑体" w:eastAsia="方正小标宋简体"/>
          <w:color w:val="000000"/>
          <w:kern w:val="100"/>
          <w:sz w:val="52"/>
          <w:szCs w:val="52"/>
          <w:lang w:eastAsia="zh-CN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演出场所经营单位许可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kern w:val="1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  <w:lang w:eastAsia="zh-CN"/>
        </w:rPr>
        <w:t>盈江</w:t>
      </w:r>
      <w:r>
        <w:rPr>
          <w:rFonts w:hint="eastAsia" w:ascii="黑体" w:hAnsi="黑体" w:eastAsia="黑体"/>
          <w:color w:val="000000"/>
          <w:sz w:val="24"/>
          <w:szCs w:val="24"/>
        </w:rPr>
        <w:t>县文体广电旅游局</w:t>
      </w:r>
    </w:p>
    <w:p>
      <w:pPr>
        <w:spacing w:after="1415" w:line="560" w:lineRule="exact"/>
        <w:jc w:val="center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2016年9月20日发布</w:t>
      </w: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</w:pPr>
    </w:p>
    <w:p>
      <w:pPr>
        <w:spacing w:line="8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演出场所经营单位许可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bookmarkEnd w:id="0"/>
    <w:bookmarkEnd w:id="1"/>
    <w:bookmarkEnd w:id="2"/>
    <w:bookmarkEnd w:id="3"/>
    <w:bookmarkEnd w:id="4"/>
    <w:bookmarkEnd w:id="5"/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sz w:val="21"/>
          <w:szCs w:val="21"/>
        </w:rPr>
      </w:pPr>
      <w:bookmarkStart w:id="12" w:name="_Toc342390933"/>
      <w:r>
        <w:rPr>
          <w:rFonts w:hint="eastAsia" w:ascii="黑体" w:hAnsi="宋体" w:eastAsia="黑体"/>
          <w:b w:val="0"/>
          <w:bCs w:val="0"/>
          <w:sz w:val="21"/>
          <w:szCs w:val="21"/>
        </w:rPr>
        <w:t>一、适用范围</w:t>
      </w:r>
      <w:bookmarkEnd w:id="12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本指南适用于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盈江县区域内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演出场所经营单位备案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/设立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的申请。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（备案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设立、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变更、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注销、补证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sz w:val="21"/>
          <w:szCs w:val="21"/>
        </w:rPr>
      </w:pPr>
      <w:bookmarkStart w:id="13" w:name="_Toc342390934"/>
      <w:r>
        <w:rPr>
          <w:rFonts w:hint="eastAsia" w:ascii="黑体" w:hAnsi="宋体" w:eastAsia="黑体"/>
          <w:b w:val="0"/>
          <w:bCs w:val="0"/>
          <w:sz w:val="21"/>
          <w:szCs w:val="21"/>
        </w:rPr>
        <w:t>二、</w:t>
      </w:r>
      <w:bookmarkEnd w:id="13"/>
      <w:r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  <w:t>审批条件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（一）新办（首次）许可批准条件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依法取得营业执照或者事业单位法人证书、民办非企业单位登记证书的演出场所经营单位，应当自领取证照之日起20日内，持上述证照和有关消防、卫生批准文件，向所在地县级文化主管部门备案。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依申请变更许可条件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演出场所经营单位变更名称、住所、法定代表人或者主要负责人等备案证明载明事项的，应当在变更后30日内，持变更后的工商营业执照副本或者组织机构代码证、营业性演出场所备案证明正（副）本，到原发证机关换领营业性演出场所备案证明，文化主管部门不再履行备案变更手续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变更</w:t>
      </w:r>
      <w:r>
        <w:rPr>
          <w:rFonts w:hint="eastAsia" w:ascii="宋体" w:hAnsi="宋体" w:eastAsia="宋体" w:cs="宋体"/>
          <w:sz w:val="21"/>
          <w:szCs w:val="21"/>
        </w:rPr>
        <w:t>法定代表人或者主要负责人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，但营业执照未记录姓名或身份证明编码的，还应提交身份证明复印件。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补正许可批准条件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60" w:lineRule="exact"/>
        <w:ind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申请人应在县级以上媒体刊登《营业性演出许可证》遗失公告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营业执照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事业单位法人证书、民办非企业单位登记证书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）副本复印件；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（四）依申请注销批准条件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经营者提出申请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sz w:val="21"/>
          <w:szCs w:val="21"/>
        </w:rPr>
      </w:pPr>
      <w:bookmarkStart w:id="14" w:name="_Toc342390935"/>
      <w:r>
        <w:rPr>
          <w:rFonts w:hint="eastAsia" w:ascii="黑体" w:hAnsi="宋体" w:eastAsia="黑体"/>
          <w:b w:val="0"/>
          <w:bCs w:val="0"/>
          <w:sz w:val="21"/>
          <w:szCs w:val="21"/>
        </w:rPr>
        <w:t>三、</w:t>
      </w:r>
      <w:r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  <w:t>受理地点和办事窗口</w:t>
      </w:r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5" w:name="_Toc342390936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受理地点：盈江县目瑙纵歌路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办事窗口：盈江县政务服务管理中心文体广电旅游局窗口。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办公时间：周一至周五，上午8: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0-1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0，下午14:30-1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sz w:val="21"/>
          <w:szCs w:val="21"/>
        </w:rPr>
      </w:pPr>
      <w:r>
        <w:rPr>
          <w:rFonts w:hint="eastAsia" w:ascii="黑体" w:hAnsi="宋体" w:eastAsia="黑体"/>
          <w:b w:val="0"/>
          <w:bCs w:val="0"/>
          <w:sz w:val="21"/>
          <w:szCs w:val="21"/>
        </w:rPr>
        <w:t>四、</w:t>
      </w:r>
      <w:bookmarkEnd w:id="15"/>
      <w:r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  <w:t>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26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bookmarkStart w:id="16" w:name="_Toc342390938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演出场所经营单位许可材料目录</w:t>
      </w:r>
    </w:p>
    <w:tbl>
      <w:tblPr>
        <w:tblStyle w:val="8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4410"/>
        <w:gridCol w:w="915"/>
        <w:gridCol w:w="975"/>
        <w:gridCol w:w="390"/>
        <w:gridCol w:w="375"/>
        <w:gridCol w:w="375"/>
        <w:gridCol w:w="375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提交材料名称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原件/复印件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/电子文件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份数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新办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变更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补正</w:t>
            </w: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申请书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营业执照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事业单位法人证书、民办非企业单位登记证书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）副本复印件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；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法定代表人或主要负责人身份证明复印件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消防批准文件复印件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复印件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《营业性演出许可证》正、副本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《营业性演出许可证》遗失公告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原件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纸质</w:t>
            </w:r>
          </w:p>
        </w:tc>
        <w:tc>
          <w:tcPr>
            <w:tcW w:w="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√</w:t>
            </w:r>
          </w:p>
        </w:tc>
        <w:tc>
          <w:tcPr>
            <w:tcW w:w="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注：以上提交材料均用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A4纸张，复印件同时加盖公章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sz w:val="21"/>
          <w:szCs w:val="21"/>
        </w:rPr>
      </w:pPr>
      <w:r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  <w:t>五</w:t>
      </w:r>
      <w:r>
        <w:rPr>
          <w:rFonts w:hint="eastAsia" w:ascii="黑体" w:hAnsi="宋体" w:eastAsia="黑体"/>
          <w:b w:val="0"/>
          <w:bCs w:val="0"/>
          <w:sz w:val="21"/>
          <w:szCs w:val="21"/>
        </w:rPr>
        <w:t>、</w:t>
      </w:r>
      <w:r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  <w:t>审批时限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材料齐全当天办结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。</w:t>
      </w:r>
    </w:p>
    <w:bookmarkEnd w:id="16"/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宋体" w:eastAsia="黑体"/>
          <w:b w:val="0"/>
          <w:bCs w:val="0"/>
          <w:sz w:val="21"/>
          <w:szCs w:val="21"/>
          <w:lang w:eastAsia="zh-CN"/>
        </w:rPr>
        <w:t>审批收费</w:t>
      </w:r>
      <w:bookmarkStart w:id="17" w:name="_Toc34239094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2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1"/>
          <w:szCs w:val="21"/>
          <w:lang w:val="en-US" w:eastAsia="zh-CN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 w:val="0"/>
          <w:sz w:val="21"/>
          <w:szCs w:val="21"/>
        </w:rPr>
      </w:pPr>
      <w:r>
        <w:rPr>
          <w:rFonts w:hint="eastAsia" w:ascii="黑体" w:hAnsi="黑体" w:eastAsia="黑体"/>
          <w:b w:val="0"/>
          <w:bCs w:val="0"/>
          <w:sz w:val="21"/>
          <w:szCs w:val="21"/>
          <w:lang w:eastAsia="zh-CN"/>
        </w:rPr>
        <w:t>七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>、</w:t>
      </w:r>
      <w:r>
        <w:rPr>
          <w:rFonts w:hint="eastAsia" w:ascii="黑体" w:hAnsi="黑体" w:eastAsia="黑体"/>
          <w:b w:val="0"/>
          <w:bCs w:val="0"/>
          <w:sz w:val="21"/>
          <w:szCs w:val="21"/>
          <w:lang w:eastAsia="zh-CN"/>
        </w:rPr>
        <w:t>审批结果及送达方式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审批结果：《营业性演出许可证》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送达方式：直接领取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八、咨询及监督渠道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咨询电话：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0692-8119121，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盈江县目瑙纵歌路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119号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文体广电旅游局办事窗口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 w:line="26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监督电话：0692-8119130  8180352</w:t>
      </w:r>
    </w:p>
    <w:p>
      <w:pPr>
        <w:pStyle w:val="9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before="0" w:beforeLines="0" w:after="0" w:afterLines="0" w:line="260" w:lineRule="exact"/>
        <w:ind w:left="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地址：盈江县永盛路花园巷11号文体广电旅游局。</w:t>
      </w:r>
    </w:p>
    <w:bookmarkEnd w:id="17"/>
    <w:p>
      <w:pPr>
        <w:spacing w:line="260" w:lineRule="atLeast"/>
        <w:ind w:left="422"/>
        <w:rPr>
          <w:rFonts w:hint="eastAsia" w:ascii="黑体" w:hAnsi="黑体" w:eastAsia="黑体" w:cs="黑体"/>
          <w:b/>
          <w:bCs w:val="0"/>
          <w:kern w:val="0"/>
          <w:szCs w:val="21"/>
        </w:rPr>
      </w:pPr>
      <w:r>
        <w:rPr>
          <w:rFonts w:hint="eastAsia" w:ascii="黑体" w:hAnsi="黑体" w:eastAsia="黑体" w:cs="黑体"/>
          <w:b/>
          <w:bCs w:val="0"/>
          <w:kern w:val="0"/>
          <w:szCs w:val="21"/>
        </w:rPr>
        <w:t>九、文书表单及办事指南下载</w:t>
      </w:r>
    </w:p>
    <w:p>
      <w:pPr>
        <w:spacing w:line="260" w:lineRule="atLeas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演出场所经营单位设立备案</w:t>
      </w:r>
      <w:r>
        <w:rPr>
          <w:rFonts w:hint="eastAsia" w:ascii="宋体" w:hAnsi="宋体" w:cs="宋体"/>
          <w:szCs w:val="21"/>
        </w:rPr>
        <w:t>许可”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spacing w:line="260" w:lineRule="atLeas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spacing w:line="260" w:lineRule="atLeast"/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演出场所经营单位设立备案</w:t>
      </w:r>
      <w:r>
        <w:rPr>
          <w:rFonts w:hint="eastAsia" w:ascii="宋体" w:hAnsi="宋体" w:cs="宋体"/>
          <w:szCs w:val="21"/>
        </w:rPr>
        <w:t>许可”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right="0" w:rightChars="0" w:firstLine="420" w:firstLineChars="200"/>
        <w:jc w:val="both"/>
        <w:textAlignment w:val="auto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  <w: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  <w:drawing>
          <wp:inline distT="0" distB="0" distL="114300" distR="114300">
            <wp:extent cx="5271770" cy="5342255"/>
            <wp:effectExtent l="0" t="0" r="5080" b="10795"/>
            <wp:docPr id="2" name="图片 2" descr="QQ截图2016092811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609281119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4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p>
      <w:pPr>
        <w:jc w:val="left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9656"/>
    <w:multiLevelType w:val="singleLevel"/>
    <w:tmpl w:val="57DF9656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57E39191"/>
    <w:multiLevelType w:val="singleLevel"/>
    <w:tmpl w:val="57E39191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C2DD6"/>
    <w:rsid w:val="0B9C2F20"/>
    <w:rsid w:val="1B4B4BED"/>
    <w:rsid w:val="201C2DD6"/>
    <w:rsid w:val="2B574F1C"/>
    <w:rsid w:val="58E969F3"/>
    <w:rsid w:val="70E059C5"/>
    <w:rsid w:val="75496533"/>
    <w:rsid w:val="79355A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10">
    <w:name w:val="要求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="200" w:leftChars="200" w:firstLine="200" w:firstLineChars="200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2016-09-19T06:50:00Z</dcterms:created>
  <dc:creator>Administrator</dc:creator>
  <cp:lastModifiedBy>Administrator</cp:lastModifiedBy>
  <dcterms:modified xsi:type="dcterms:W3CDTF">2016-09-28T03:19:53Z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