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盈江县医疗保障局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.照片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3.职务职级、简历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2.主动公开信息（包括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公开内容、公开时限、公开形式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3.依申请公开的有关事项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（包括受理申请机构、申请的具体步骤）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4.政府信息公开工作机构情况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政府信息查阅场所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1266190</wp:posOffset>
                      </wp:positionV>
                      <wp:extent cx="508000" cy="1183005"/>
                      <wp:effectExtent l="4445" t="1905" r="20955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421130" y="2425065"/>
                                <a:ext cx="508000" cy="1183005"/>
                              </a:xfrm>
                              <a:prstGeom prst="line">
                                <a:avLst/>
                              </a:prstGeom>
                              <a:ln w="317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4.65pt;margin-top:99.7pt;height:93.15pt;width:40pt;z-index:251659264;mso-width-relative:page;mso-height-relative:page;" filled="f" stroked="t" coordsize="21600,21600" o:gfxdata="UEsDBAoAAAAAAIdO4kAAAAAAAAAAAAAAAAAEAAAAZHJzL1BLAwQUAAAACACHTuJAguMF+9wAAAAJ&#10;AQAADwAAAGRycy9kb3ducmV2LnhtbE2PwU7DMAyG70i8Q2QkLmhLxmBdS9NJBQ1p0g5sQ+KaNqYp&#10;NE7VZOvg6QknONr+9Pv789XZduyEg28dSZhNBTCk2umWGgmvh/VkCcwHRVp1jlDCF3pYFZcXucq0&#10;G2mHp31oWAwhnykJJoQ+49zXBq3yU9cjxdu7G6wKcRwargc1xnDb8VshFtyqluIHo3p8NFh/7o9W&#10;wualMtvFdv1c3tDbd1s9ld3HWEp5fTUTD8ACnsMfDL/6UR2K6FS5I2nPOgmTdB7JuE/TO2ARSEQC&#10;rJIwX94nwIuc/29Q/ABQSwMEFAAAAAgAh07iQFnIoNz+AQAAzAMAAA4AAABkcnMvZTJvRG9jLnht&#10;bK1TzW4TMRC+I/EOlu9kf9KUaJVND40KBwSRgAdwvPauJf/J42aTl+AFkLjBiSN33qblMRh70xbK&#10;pQf2YHk8n7+Z7/Ps6uJgNNmLAMrZllazkhJhueuU7Vv68cPViyUlEJntmHZWtPQogF6snz9bjb4R&#10;tRuc7kQgSGKhGX1Lhxh9UxTAB2EYzJwXFpPSBcMihqEvusBGZDe6qMvyvBhd6HxwXADg6WZK0hNj&#10;eAqhk1JxsXH82ggbJ9YgNIsoCQblga5zt1IKHt9JCSIS3VJUGvOKRXC/S2uxXrGmD8wPip9aYE9p&#10;4ZEmw5TFovdUGxYZuQ7qHyqjeHDgZJxxZ4pJSHYEVVTlI2/eD8yLrAWtBn9vOvw/Wv52vw1EdS2t&#10;KbHM4IPffv5x8+nrr59fcL39/o3UyaTRQ4PYS7sNpwj8NiTFBxkMkVr51zhN2QNURQ4YnNVVNUej&#10;j0h+Vi/K88VktzhEwhGwKJdliXmOgKpazssyA4qJM3H7APGVcIakTUu1sskO1rD9G4jYB0LvIOnY&#10;uiuldX5SbcnY0nn1coH8DMdU4njg1niUCranhOke55/HkBnBadWl24kHQr+71IHsWZqa/KXOsdpf&#10;sFR6w2CYcDk1CTQq4i+ilWlpUogap9vaIklycvIu7XauO2ZL8zk+ci5zGsg0RX/G+fbDT7j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LjBfvcAAAACQEAAA8AAAAAAAAAAQAgAAAAIgAAAGRycy9k&#10;b3ducmV2LnhtbFBLAQIUABQAAAAIAIdO4kBZyKDc/gEAAMwDAAAOAAAAAAAAAAEAIAAAACsBAABk&#10;cnMvZTJvRG9jLnhtbFBLBQYAAAAABgAGAFkBAACbBQAAAAA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规划财务和基金监管股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跳转到云南省政府信息依申请公开系统http://www.yn.gov.cn/zwgk/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县医保局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1.各单位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加设滚动栏目的单位需按要求填写，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如：县</w:t>
      </w:r>
      <w:r>
        <w:rPr>
          <w:rFonts w:ascii="宋体" w:hAnsi="宋体" w:eastAsia="宋体" w:cs="宋体"/>
          <w:sz w:val="20"/>
          <w:szCs w:val="20"/>
        </w:rPr>
        <w:t>自然资源局的打击养老诈骗专项行动栏目为滚动栏目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2E4NjdjMWJmNDA5YmRlZDYyMzEzZWUzODk3YWIifQ=="/>
  </w:docVars>
  <w:rsids>
    <w:rsidRoot w:val="00000000"/>
    <w:rsid w:val="0629685F"/>
    <w:rsid w:val="06D41AB8"/>
    <w:rsid w:val="098F60D2"/>
    <w:rsid w:val="09EB33D9"/>
    <w:rsid w:val="0A3E7867"/>
    <w:rsid w:val="0BD66287"/>
    <w:rsid w:val="0BF42458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B145D55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2243</Words>
  <Characters>2294</Characters>
  <Lines>0</Lines>
  <Paragraphs>0</Paragraphs>
  <TotalTime>9</TotalTime>
  <ScaleCrop>false</ScaleCrop>
  <LinksUpToDate>false</LinksUpToDate>
  <CharactersWithSpaces>2889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hp</cp:lastModifiedBy>
  <cp:lastPrinted>2022-10-20T09:25:00Z</cp:lastPrinted>
  <dcterms:modified xsi:type="dcterms:W3CDTF">2022-11-01T02:04:15Z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478921509E6448D3BA35968009BD0AC0</vt:lpwstr>
  </property>
</Properties>
</file>