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880"/>
        <w:gridCol w:w="2070"/>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4" w:type="dxa"/>
            <w:gridSpan w:val="4"/>
            <w:vAlign w:val="center"/>
          </w:tcPr>
          <w:p>
            <w:pPr>
              <w:widowControl w:val="0"/>
              <w:spacing w:line="220" w:lineRule="atLeast"/>
              <w:jc w:val="center"/>
              <w:rPr>
                <w:rFonts w:hint="default" w:eastAsia="微软雅黑"/>
                <w:vertAlign w:val="baseline"/>
                <w:lang w:val="en-US" w:eastAsia="zh-CN"/>
              </w:rPr>
            </w:pPr>
            <w:r>
              <w:rPr>
                <w:rFonts w:hint="eastAsia" w:ascii="方正小标宋_GBK" w:hAnsi="方正小标宋_GBK" w:eastAsia="方正小标宋_GBK" w:cs="方正小标宋_GBK"/>
                <w:sz w:val="44"/>
                <w:szCs w:val="44"/>
                <w:vertAlign w:val="baseline"/>
                <w:lang w:val="en-US" w:eastAsia="zh-CN"/>
              </w:rPr>
              <w:t>盈江县医疗保障局行政执法事项清单（2025年）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widowControl w:val="0"/>
              <w:spacing w:line="220" w:lineRule="atLeast"/>
              <w:jc w:val="center"/>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序号</w:t>
            </w:r>
          </w:p>
        </w:tc>
        <w:tc>
          <w:tcPr>
            <w:tcW w:w="2880" w:type="dxa"/>
            <w:vAlign w:val="center"/>
          </w:tcPr>
          <w:p>
            <w:pPr>
              <w:widowControl w:val="0"/>
              <w:spacing w:line="220" w:lineRule="atLeast"/>
              <w:jc w:val="center"/>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事项名称</w:t>
            </w:r>
          </w:p>
        </w:tc>
        <w:tc>
          <w:tcPr>
            <w:tcW w:w="2070" w:type="dxa"/>
            <w:vAlign w:val="center"/>
          </w:tcPr>
          <w:p>
            <w:pPr>
              <w:widowControl w:val="0"/>
              <w:spacing w:line="220" w:lineRule="atLeast"/>
              <w:jc w:val="center"/>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执法类别</w:t>
            </w:r>
          </w:p>
        </w:tc>
        <w:tc>
          <w:tcPr>
            <w:tcW w:w="8939" w:type="dxa"/>
            <w:vAlign w:val="center"/>
          </w:tcPr>
          <w:p>
            <w:pPr>
              <w:widowControl w:val="0"/>
              <w:spacing w:line="220" w:lineRule="atLeast"/>
              <w:jc w:val="center"/>
              <w:rPr>
                <w:rFonts w:hint="eastAsia" w:ascii="方正仿宋_GBK" w:hAnsi="方正仿宋_GBK" w:eastAsia="方正仿宋_GBK" w:cs="方正仿宋_GBK"/>
                <w:b/>
                <w:bCs/>
                <w:sz w:val="28"/>
                <w:szCs w:val="28"/>
                <w:vertAlign w:val="baseline"/>
                <w:lang w:eastAsia="zh-CN"/>
              </w:rPr>
            </w:pPr>
            <w:r>
              <w:rPr>
                <w:rFonts w:hint="eastAsia" w:ascii="方正仿宋_GBK" w:hAnsi="方正仿宋_GBK" w:eastAsia="方正仿宋_GBK" w:cs="方正仿宋_GBK"/>
                <w:b/>
                <w:bCs/>
                <w:sz w:val="28"/>
                <w:szCs w:val="28"/>
                <w:vertAlign w:val="baseline"/>
                <w:lang w:eastAsia="zh-CN"/>
              </w:rPr>
              <w:t>实施依据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widowControl w:val="0"/>
              <w:spacing w:line="220" w:lineRule="atLeast"/>
              <w:jc w:val="center"/>
              <w:rPr>
                <w:rFonts w:hint="eastAsia" w:eastAsia="微软雅黑"/>
                <w:vertAlign w:val="baseline"/>
                <w:lang w:val="en-US" w:eastAsia="zh-CN"/>
              </w:rPr>
            </w:pPr>
            <w:r>
              <w:rPr>
                <w:rFonts w:hint="eastAsia"/>
                <w:vertAlign w:val="baseline"/>
                <w:lang w:val="en-US" w:eastAsia="zh-CN"/>
              </w:rPr>
              <w:t>1</w:t>
            </w:r>
          </w:p>
        </w:tc>
        <w:tc>
          <w:tcPr>
            <w:tcW w:w="2880" w:type="dxa"/>
            <w:vAlign w:val="center"/>
          </w:tcPr>
          <w:p>
            <w:pPr>
              <w:widowControl w:val="0"/>
              <w:spacing w:line="220" w:lineRule="atLeast"/>
              <w:jc w:val="left"/>
              <w:rPr>
                <w:vertAlign w:val="baseline"/>
              </w:rPr>
            </w:pPr>
            <w:r>
              <w:rPr>
                <w:rFonts w:hint="eastAsia"/>
                <w:vertAlign w:val="baseline"/>
              </w:rPr>
              <w:t>对医疗保障经办机构以及医疗机构、药品经营单位等医疗保险服务机构以欺诈、伪造证明材料或者其他手段骗取医疗保险、生育保险基金支出的处罚</w:t>
            </w:r>
          </w:p>
        </w:tc>
        <w:tc>
          <w:tcPr>
            <w:tcW w:w="2070" w:type="dxa"/>
            <w:vAlign w:val="center"/>
          </w:tcPr>
          <w:p>
            <w:pPr>
              <w:widowControl w:val="0"/>
              <w:spacing w:line="220" w:lineRule="atLeast"/>
              <w:jc w:val="center"/>
              <w:rPr>
                <w:rFonts w:hint="eastAsia" w:eastAsia="微软雅黑"/>
                <w:vertAlign w:val="baseline"/>
                <w:lang w:val="en-US" w:eastAsia="zh-CN"/>
              </w:rPr>
            </w:pPr>
            <w:r>
              <w:rPr>
                <w:rFonts w:hint="eastAsia"/>
                <w:vertAlign w:val="baseline"/>
                <w:lang w:val="en-US" w:eastAsia="zh-CN"/>
              </w:rPr>
              <w:t>行政处罚</w:t>
            </w:r>
          </w:p>
        </w:tc>
        <w:tc>
          <w:tcPr>
            <w:tcW w:w="8939" w:type="dxa"/>
            <w:vAlign w:val="center"/>
          </w:tcPr>
          <w:p>
            <w:pPr>
              <w:widowControl w:val="0"/>
              <w:spacing w:line="220" w:lineRule="atLeast"/>
              <w:jc w:val="left"/>
              <w:rPr>
                <w:rFonts w:hint="eastAsia"/>
                <w:vertAlign w:val="baseline"/>
              </w:rPr>
            </w:pPr>
            <w:r>
              <w:rPr>
                <w:rFonts w:hint="eastAsia"/>
                <w:vertAlign w:val="baseline"/>
              </w:rPr>
              <w:t>《中华人民共和国社会保险法》第八十七条 ：社会保险经办机构以及医疗机构、药品经营单位等社会保险服务机构以欺诈、伪造证明材料或者其他手段骗取社会保险基金支出的 ，由社会保险行政部门责令退回骗取的社会保险金，处骗取金额二倍以上五倍以下的罚款；属于社会保险服务机构的，解除服务协议；直接负责的主管人员和其他直接责任人员有职业资格的，依法吊销其职业资格。</w:t>
            </w:r>
          </w:p>
          <w:p>
            <w:pPr>
              <w:widowControl w:val="0"/>
              <w:spacing w:line="220" w:lineRule="atLeast"/>
              <w:jc w:val="left"/>
              <w:rPr>
                <w:rFonts w:hint="eastAsia"/>
                <w:vertAlign w:val="baseline"/>
              </w:rPr>
            </w:pPr>
            <w:r>
              <w:rPr>
                <w:rFonts w:hint="eastAsia"/>
                <w:vertAlign w:val="baseline"/>
              </w:rPr>
              <w:t>《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widowControl w:val="0"/>
              <w:spacing w:line="220" w:lineRule="atLeast"/>
              <w:jc w:val="left"/>
              <w:rPr>
                <w:rFonts w:hint="eastAsia"/>
                <w:vertAlign w:val="baseline"/>
              </w:rPr>
            </w:pPr>
            <w:r>
              <w:rPr>
                <w:rFonts w:hint="eastAsia"/>
                <w:vertAlign w:val="baseline"/>
              </w:rPr>
              <w:t>《云南省城镇职工基本医疗保险暂行规定》（云南省人民政府令第86号）第二十五条：定点医疗机构、定点零售药店违反基本医疗保险服务规定的，由县以上劳动和社会保障行政部门责令改正，给予警告，扣回不应由医疗保险基金支付的费用。</w:t>
            </w:r>
          </w:p>
          <w:p>
            <w:pPr>
              <w:widowControl w:val="0"/>
              <w:spacing w:line="220" w:lineRule="atLeast"/>
              <w:jc w:val="left"/>
              <w:rPr>
                <w:vertAlign w:val="baseline"/>
              </w:rPr>
            </w:pPr>
            <w:r>
              <w:rPr>
                <w:rFonts w:hint="eastAsia"/>
                <w:vertAlign w:val="baseline"/>
              </w:rPr>
              <w:t>《医疗保障基金使用监督管理条例》（国务院令第735号）第三十七条：医疗保障经办机构通过伪造、变造、隐匿、涂改、销毁医学文书、医学证明、会计凭证、电子信息等有关资料或者虚构医药服务项目等方式，骗取医疗保障基金支出的，由医疗保障行政部门责令退回，处骗取金额2倍以上5倍以下的罚款，对直接负责的主管人员和其他直接责任人员依法给予处分。第三十八条： 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第四十条：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第四十一条：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widowControl w:val="0"/>
              <w:spacing w:line="220" w:lineRule="atLeast"/>
              <w:jc w:val="center"/>
              <w:rPr>
                <w:rFonts w:hint="eastAsia" w:eastAsia="微软雅黑"/>
                <w:vertAlign w:val="baseline"/>
                <w:lang w:val="en-US" w:eastAsia="zh-CN"/>
              </w:rPr>
            </w:pPr>
            <w:r>
              <w:rPr>
                <w:rFonts w:hint="eastAsia"/>
                <w:vertAlign w:val="baseline"/>
                <w:lang w:val="en-US" w:eastAsia="zh-CN"/>
              </w:rPr>
              <w:t>2</w:t>
            </w:r>
          </w:p>
        </w:tc>
        <w:tc>
          <w:tcPr>
            <w:tcW w:w="2880" w:type="dxa"/>
            <w:vAlign w:val="center"/>
          </w:tcPr>
          <w:p>
            <w:pPr>
              <w:widowControl w:val="0"/>
              <w:spacing w:line="220" w:lineRule="atLeast"/>
              <w:jc w:val="left"/>
              <w:rPr>
                <w:vertAlign w:val="baseline"/>
              </w:rPr>
            </w:pPr>
            <w:r>
              <w:rPr>
                <w:rFonts w:hint="eastAsia"/>
                <w:vertAlign w:val="baseline"/>
              </w:rPr>
              <w:t>对医疗保障经办机构以及医疗机构、药品经营单位因违法行为造成医疗保障基金损失或实施其他违法行为的处罚</w:t>
            </w:r>
          </w:p>
        </w:tc>
        <w:tc>
          <w:tcPr>
            <w:tcW w:w="2070" w:type="dxa"/>
            <w:vAlign w:val="center"/>
          </w:tcPr>
          <w:p>
            <w:pPr>
              <w:widowControl w:val="0"/>
              <w:spacing w:line="220" w:lineRule="atLeast"/>
              <w:jc w:val="center"/>
              <w:rPr>
                <w:vertAlign w:val="baseline"/>
              </w:rPr>
            </w:pPr>
            <w:r>
              <w:rPr>
                <w:rFonts w:hint="eastAsia"/>
                <w:vertAlign w:val="baseline"/>
                <w:lang w:val="en-US" w:eastAsia="zh-CN"/>
              </w:rPr>
              <w:t>行政处罚</w:t>
            </w:r>
          </w:p>
        </w:tc>
        <w:tc>
          <w:tcPr>
            <w:tcW w:w="8939" w:type="dxa"/>
            <w:vAlign w:val="center"/>
          </w:tcPr>
          <w:p>
            <w:pPr>
              <w:widowControl w:val="0"/>
              <w:spacing w:line="220" w:lineRule="atLeast"/>
              <w:jc w:val="left"/>
              <w:rPr>
                <w:vertAlign w:val="baseline"/>
              </w:rPr>
            </w:pPr>
            <w:r>
              <w:rPr>
                <w:rFonts w:hint="eastAsia"/>
                <w:vertAlign w:val="baseline"/>
              </w:rPr>
              <w:t>《医疗保障基金使用监督管理条例》（国务院令第735号）第三十六条：医疗保障经办机构有下列情形之一的，由医疗保障行政部门责令改正，对直接负责的主管人员和其他直接责任人员依法给予处分：（一）未建立健全业务、财务、安全和风险管理制度；（二）未履行服务协议管理、费用监控、基金拨付、待遇审核及支付等职责；（三）未定期向社会公开医疗保障基金的收入、支出、结余等情况。第三十八条：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 第三十九条：定点医药机构有下列情形之一的，由医疗保障行政部门责令改正，并可以约谈有关负责人；拒不改正的，处1万元以上5万元以下的罚款；违反其他法律、行政法规的，由有关主管部门依法处理：（一）未建立医疗保障基金使用内部管理制度，或者没有专门机构或者人员负责医疗保障基金使用管理工作；（二）未按照规定保管财务账目、会计凭证、处方、病历、治疗检查记录、费用明细、药品和医用耗材出入库记录等资料；（三）未按照规定通过医疗保障信息系统传送医疗保障基金使用有关数据；（四）未按照规定向医疗保障行政部门报告医疗保障基金使用监督管理所需信息；（五）未按照规定向社会公开医药费用、费用结构等信息；（六）除急诊、抢救等特殊情形外，未经参保人员或者其近亲属、监护人同意提供医疗保障基金支付范围以外的医药服务；（七）拒绝医疗保障等行政部门监督检查或者提供虚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widowControl w:val="0"/>
              <w:spacing w:line="220" w:lineRule="atLeast"/>
              <w:jc w:val="center"/>
              <w:rPr>
                <w:rFonts w:hint="eastAsia" w:eastAsia="微软雅黑"/>
                <w:vertAlign w:val="baseline"/>
                <w:lang w:val="en-US" w:eastAsia="zh-CN"/>
              </w:rPr>
            </w:pPr>
            <w:r>
              <w:rPr>
                <w:rFonts w:hint="eastAsia"/>
                <w:vertAlign w:val="baseline"/>
                <w:lang w:val="en-US" w:eastAsia="zh-CN"/>
              </w:rPr>
              <w:t>3</w:t>
            </w:r>
          </w:p>
        </w:tc>
        <w:tc>
          <w:tcPr>
            <w:tcW w:w="2880" w:type="dxa"/>
            <w:vAlign w:val="center"/>
          </w:tcPr>
          <w:p>
            <w:pPr>
              <w:widowControl w:val="0"/>
              <w:spacing w:line="220" w:lineRule="atLeast"/>
              <w:jc w:val="left"/>
              <w:rPr>
                <w:vertAlign w:val="baseline"/>
              </w:rPr>
            </w:pPr>
            <w:r>
              <w:rPr>
                <w:rFonts w:hint="eastAsia"/>
                <w:vertAlign w:val="baseline"/>
              </w:rPr>
              <w:t>对个人以骗取医疗保障基金为目的，造成医疗保障基金损失的处罚</w:t>
            </w:r>
          </w:p>
        </w:tc>
        <w:tc>
          <w:tcPr>
            <w:tcW w:w="2070" w:type="dxa"/>
            <w:vAlign w:val="center"/>
          </w:tcPr>
          <w:p>
            <w:pPr>
              <w:widowControl w:val="0"/>
              <w:spacing w:line="220" w:lineRule="atLeast"/>
              <w:jc w:val="center"/>
              <w:rPr>
                <w:vertAlign w:val="baseline"/>
              </w:rPr>
            </w:pPr>
            <w:r>
              <w:rPr>
                <w:rFonts w:hint="eastAsia"/>
                <w:vertAlign w:val="baseline"/>
                <w:lang w:val="en-US" w:eastAsia="zh-CN"/>
              </w:rPr>
              <w:t>行政处罚</w:t>
            </w:r>
          </w:p>
        </w:tc>
        <w:tc>
          <w:tcPr>
            <w:tcW w:w="8939" w:type="dxa"/>
            <w:vAlign w:val="center"/>
          </w:tcPr>
          <w:p>
            <w:pPr>
              <w:widowControl w:val="0"/>
              <w:spacing w:line="220" w:lineRule="atLeast"/>
              <w:jc w:val="left"/>
              <w:rPr>
                <w:vertAlign w:val="baseline"/>
              </w:rPr>
            </w:pPr>
            <w:r>
              <w:rPr>
                <w:rFonts w:hint="eastAsia"/>
                <w:vertAlign w:val="baseline"/>
              </w:rPr>
              <w:t>《医疗保障基金使用监督管理条例》（国务院令第735号）第四十一条：个人有下列情形之一的，由医疗保障行政部门责令改正；造成医疗保障基金损失的，责令退回；属于参保人员的，暂停其医疗费用联网结算3个月至12个月：（一）将本人的医疗保障凭证交由他人冒名使用；（二）重复享受医疗保障待遇；（三）利用享受医疗保障待遇的机会转卖药品，接受返还现金、实物或者获得其他非法利益。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005" w:type="dxa"/>
            <w:vAlign w:val="center"/>
          </w:tcPr>
          <w:p>
            <w:pPr>
              <w:widowControl w:val="0"/>
              <w:spacing w:line="220" w:lineRule="atLeast"/>
              <w:jc w:val="center"/>
              <w:rPr>
                <w:rFonts w:hint="eastAsia" w:eastAsia="微软雅黑"/>
                <w:vertAlign w:val="baseline"/>
                <w:lang w:val="en-US" w:eastAsia="zh-CN"/>
              </w:rPr>
            </w:pPr>
            <w:r>
              <w:rPr>
                <w:rFonts w:hint="eastAsia"/>
                <w:vertAlign w:val="baseline"/>
                <w:lang w:val="en-US" w:eastAsia="zh-CN"/>
              </w:rPr>
              <w:t>4</w:t>
            </w:r>
          </w:p>
        </w:tc>
        <w:tc>
          <w:tcPr>
            <w:tcW w:w="2880" w:type="dxa"/>
            <w:vAlign w:val="center"/>
          </w:tcPr>
          <w:p>
            <w:pPr>
              <w:widowControl w:val="0"/>
              <w:spacing w:line="220" w:lineRule="atLeast"/>
              <w:jc w:val="left"/>
              <w:rPr>
                <w:vertAlign w:val="baseline"/>
              </w:rPr>
            </w:pPr>
            <w:r>
              <w:rPr>
                <w:rFonts w:hint="eastAsia"/>
                <w:vertAlign w:val="baseline"/>
              </w:rPr>
              <w:t>对可能被转移、隐匿或者灭失的医疗保险基金相关资料进行封存</w:t>
            </w:r>
          </w:p>
        </w:tc>
        <w:tc>
          <w:tcPr>
            <w:tcW w:w="2070" w:type="dxa"/>
            <w:vAlign w:val="center"/>
          </w:tcPr>
          <w:p>
            <w:pPr>
              <w:widowControl w:val="0"/>
              <w:spacing w:line="220" w:lineRule="atLeast"/>
              <w:jc w:val="center"/>
              <w:rPr>
                <w:rFonts w:hint="eastAsia" w:eastAsia="微软雅黑"/>
                <w:vertAlign w:val="baseline"/>
                <w:lang w:eastAsia="zh-CN"/>
              </w:rPr>
            </w:pPr>
            <w:r>
              <w:rPr>
                <w:rFonts w:hint="eastAsia"/>
                <w:vertAlign w:val="baseline"/>
                <w:lang w:eastAsia="zh-CN"/>
              </w:rPr>
              <w:t>行政强制</w:t>
            </w:r>
          </w:p>
        </w:tc>
        <w:tc>
          <w:tcPr>
            <w:tcW w:w="8939" w:type="dxa"/>
            <w:vAlign w:val="center"/>
          </w:tcPr>
          <w:p>
            <w:pPr>
              <w:widowControl w:val="0"/>
              <w:spacing w:line="220" w:lineRule="atLeast"/>
              <w:jc w:val="left"/>
              <w:rPr>
                <w:rFonts w:hint="eastAsia"/>
                <w:vertAlign w:val="baseline"/>
              </w:rPr>
            </w:pPr>
            <w:r>
              <w:rPr>
                <w:rFonts w:hint="eastAsia"/>
                <w:vertAlign w:val="baseline"/>
              </w:rPr>
              <w:t>《中华人民共和国社会保险法》第七十九条：社会保险行政部门对社会保险基金的收支、管理和投资运营情况进行监督检查，发现存在问题的，应当提出整改建议，依法作出处理决定或者向有关行政部门提出处理建议。社会保险基金检查结果应当定期向社会公布。社会保险行政部门对社会保险基金实施监督检查，有权采取下列措施：（一）查阅、记录、复制与社会保险基金收支、管理和投资运营相关的资料，对可能被转移、隐匿或者灭失的资料予以封存；（二）询问与调查事项有关的单位和个人，要求其对与调查事项有关的问题作出说明、提供有关证明材料；（三）对隐匿、转移、侵占、挪用社会保险基金的行为</w:t>
            </w:r>
            <w:bookmarkStart w:id="0" w:name="_GoBack"/>
            <w:bookmarkEnd w:id="0"/>
            <w:r>
              <w:rPr>
                <w:rFonts w:hint="eastAsia"/>
                <w:vertAlign w:val="baseline"/>
              </w:rPr>
              <w:t>予以制止并责令改正。</w:t>
            </w:r>
          </w:p>
          <w:p>
            <w:pPr>
              <w:widowControl w:val="0"/>
              <w:spacing w:line="220" w:lineRule="atLeast"/>
              <w:jc w:val="left"/>
              <w:rPr>
                <w:rFonts w:hint="eastAsia"/>
                <w:vertAlign w:val="baseline"/>
              </w:rPr>
            </w:pPr>
            <w:r>
              <w:rPr>
                <w:rFonts w:hint="eastAsia"/>
                <w:vertAlign w:val="baseline"/>
              </w:rPr>
              <w:t>《中华人民共和国价格法》第三十四条：</w:t>
            </w:r>
          </w:p>
          <w:p>
            <w:pPr>
              <w:widowControl w:val="0"/>
              <w:spacing w:line="220" w:lineRule="atLeast"/>
              <w:jc w:val="left"/>
              <w:rPr>
                <w:rFonts w:hint="eastAsia"/>
                <w:vertAlign w:val="baseline"/>
              </w:rPr>
            </w:pPr>
            <w:r>
              <w:rPr>
                <w:rFonts w:hint="eastAsia"/>
                <w:vertAlign w:val="baseline"/>
              </w:rPr>
              <w:t>（四）在证据可能灭失或者以后难以取得的情况下，可以依法先行登记保存，当事人或者有关人员不得转移、隐匿或者销毁。</w:t>
            </w:r>
          </w:p>
          <w:p>
            <w:pPr>
              <w:widowControl w:val="0"/>
              <w:spacing w:line="220" w:lineRule="atLeast"/>
              <w:jc w:val="left"/>
              <w:rPr>
                <w:rFonts w:hint="eastAsia"/>
                <w:vertAlign w:val="baseline"/>
              </w:rPr>
            </w:pPr>
            <w:r>
              <w:rPr>
                <w:rFonts w:hint="eastAsia"/>
                <w:vertAlign w:val="baseline"/>
              </w:rPr>
              <w:t>《医疗保障基金使用监督管理条例》（国务院令第735号）第二十七条：医疗保障行政部门实施监督检查，可以采取下列措施：</w:t>
            </w:r>
          </w:p>
          <w:p>
            <w:pPr>
              <w:widowControl w:val="0"/>
              <w:spacing w:line="220" w:lineRule="atLeast"/>
              <w:jc w:val="left"/>
              <w:rPr>
                <w:rFonts w:hint="eastAsia"/>
                <w:vertAlign w:val="baseline"/>
              </w:rPr>
            </w:pPr>
            <w:r>
              <w:rPr>
                <w:rFonts w:hint="eastAsia"/>
                <w:vertAlign w:val="baseline"/>
              </w:rPr>
              <w:t>（一）进入现场检查；</w:t>
            </w:r>
          </w:p>
          <w:p>
            <w:pPr>
              <w:widowControl w:val="0"/>
              <w:spacing w:line="220" w:lineRule="atLeast"/>
              <w:jc w:val="left"/>
              <w:rPr>
                <w:rFonts w:hint="eastAsia"/>
                <w:vertAlign w:val="baseline"/>
              </w:rPr>
            </w:pPr>
            <w:r>
              <w:rPr>
                <w:rFonts w:hint="eastAsia"/>
                <w:vertAlign w:val="baseline"/>
              </w:rPr>
              <w:t>（二）询问有关人员；</w:t>
            </w:r>
          </w:p>
          <w:p>
            <w:pPr>
              <w:widowControl w:val="0"/>
              <w:spacing w:line="220" w:lineRule="atLeast"/>
              <w:jc w:val="left"/>
              <w:rPr>
                <w:rFonts w:hint="eastAsia"/>
                <w:vertAlign w:val="baseline"/>
              </w:rPr>
            </w:pPr>
            <w:r>
              <w:rPr>
                <w:rFonts w:hint="eastAsia"/>
                <w:vertAlign w:val="baseline"/>
              </w:rPr>
              <w:t>（三）要求被检查对象提供与检查事项相关的文件资料，并作出解释和说明；</w:t>
            </w:r>
          </w:p>
          <w:p>
            <w:pPr>
              <w:widowControl w:val="0"/>
              <w:spacing w:line="220" w:lineRule="atLeast"/>
              <w:jc w:val="left"/>
              <w:rPr>
                <w:rFonts w:hint="eastAsia"/>
                <w:vertAlign w:val="baseline"/>
              </w:rPr>
            </w:pPr>
            <w:r>
              <w:rPr>
                <w:rFonts w:hint="eastAsia"/>
                <w:vertAlign w:val="baseline"/>
              </w:rPr>
              <w:t>（四）采取记录、录音、录像、照相或者复制等方式收集有关情况和资料；</w:t>
            </w:r>
          </w:p>
          <w:p>
            <w:pPr>
              <w:widowControl w:val="0"/>
              <w:spacing w:line="220" w:lineRule="atLeast"/>
              <w:jc w:val="left"/>
              <w:rPr>
                <w:rFonts w:hint="eastAsia"/>
                <w:vertAlign w:val="baseline"/>
              </w:rPr>
            </w:pPr>
            <w:r>
              <w:rPr>
                <w:rFonts w:hint="eastAsia"/>
                <w:vertAlign w:val="baseline"/>
              </w:rPr>
              <w:t>（五）对可能被转移、隐匿或者灭失的资料等予以封存；</w:t>
            </w:r>
          </w:p>
          <w:p>
            <w:pPr>
              <w:widowControl w:val="0"/>
              <w:spacing w:line="220" w:lineRule="atLeast"/>
              <w:jc w:val="left"/>
              <w:rPr>
                <w:rFonts w:hint="eastAsia"/>
                <w:vertAlign w:val="baseline"/>
              </w:rPr>
            </w:pPr>
            <w:r>
              <w:rPr>
                <w:rFonts w:hint="eastAsia"/>
                <w:vertAlign w:val="baseline"/>
              </w:rPr>
              <w:t>（六）聘请符合条件的会计师事务所等第三方机构和专业人员协助开展检查；</w:t>
            </w:r>
          </w:p>
          <w:p>
            <w:pPr>
              <w:widowControl w:val="0"/>
              <w:spacing w:line="220" w:lineRule="atLeast"/>
              <w:jc w:val="left"/>
              <w:rPr>
                <w:vertAlign w:val="baseline"/>
              </w:rPr>
            </w:pPr>
            <w:r>
              <w:rPr>
                <w:rFonts w:hint="eastAsia"/>
                <w:vertAlign w:val="baseline"/>
              </w:rPr>
              <w:t>（七）法律、法规规定的其他措施。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widowControl w:val="0"/>
              <w:spacing w:line="220" w:lineRule="atLeast"/>
              <w:jc w:val="center"/>
              <w:rPr>
                <w:rFonts w:hint="eastAsia" w:eastAsia="微软雅黑"/>
                <w:vertAlign w:val="baseline"/>
                <w:lang w:val="en-US" w:eastAsia="zh-CN"/>
              </w:rPr>
            </w:pPr>
            <w:r>
              <w:rPr>
                <w:rFonts w:hint="eastAsia"/>
                <w:vertAlign w:val="baseline"/>
                <w:lang w:val="en-US" w:eastAsia="zh-CN"/>
              </w:rPr>
              <w:t>5</w:t>
            </w:r>
          </w:p>
        </w:tc>
        <w:tc>
          <w:tcPr>
            <w:tcW w:w="2880" w:type="dxa"/>
            <w:vAlign w:val="center"/>
          </w:tcPr>
          <w:p>
            <w:pPr>
              <w:widowControl w:val="0"/>
              <w:spacing w:line="220" w:lineRule="atLeast"/>
              <w:jc w:val="left"/>
              <w:rPr>
                <w:vertAlign w:val="baseline"/>
              </w:rPr>
            </w:pPr>
            <w:r>
              <w:rPr>
                <w:rFonts w:hint="eastAsia"/>
                <w:vertAlign w:val="baseline"/>
              </w:rPr>
              <w:t>对用人单位和个人遵守社会保险法律、法规情况进行监督检查</w:t>
            </w:r>
          </w:p>
        </w:tc>
        <w:tc>
          <w:tcPr>
            <w:tcW w:w="2070" w:type="dxa"/>
            <w:vAlign w:val="center"/>
          </w:tcPr>
          <w:p>
            <w:pPr>
              <w:widowControl w:val="0"/>
              <w:spacing w:line="220" w:lineRule="atLeast"/>
              <w:jc w:val="center"/>
              <w:rPr>
                <w:vertAlign w:val="baseline"/>
              </w:rPr>
            </w:pPr>
            <w:r>
              <w:rPr>
                <w:rFonts w:hint="eastAsia"/>
                <w:vertAlign w:val="baseline"/>
                <w:lang w:eastAsia="zh-CN"/>
              </w:rPr>
              <w:t>行政检查</w:t>
            </w:r>
          </w:p>
        </w:tc>
        <w:tc>
          <w:tcPr>
            <w:tcW w:w="8939" w:type="dxa"/>
            <w:vAlign w:val="center"/>
          </w:tcPr>
          <w:p>
            <w:pPr>
              <w:widowControl w:val="0"/>
              <w:spacing w:line="220" w:lineRule="atLeast"/>
              <w:jc w:val="left"/>
              <w:rPr>
                <w:rFonts w:hint="eastAsia" w:eastAsia="微软雅黑"/>
                <w:vertAlign w:val="baseline"/>
                <w:lang w:val="en-US" w:eastAsia="zh-CN"/>
              </w:rPr>
            </w:pPr>
            <w:r>
              <w:rPr>
                <w:rFonts w:hint="eastAsia"/>
                <w:vertAlign w:val="baseline"/>
              </w:rPr>
              <w:t>《中华人民共和国社会保险法》第七条：县级以上地方人民政府社会保险行政部门负责本行政区域的社会保险管理工作，县级以上地方人民政府其他有关部门在各自的职责范围内负责有关的社会保险工作。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widowControl w:val="0"/>
              <w:spacing w:line="220" w:lineRule="atLeast"/>
              <w:jc w:val="center"/>
              <w:rPr>
                <w:rFonts w:hint="eastAsia" w:eastAsia="微软雅黑"/>
                <w:vertAlign w:val="baseline"/>
                <w:lang w:val="en-US" w:eastAsia="zh-CN"/>
              </w:rPr>
            </w:pPr>
            <w:r>
              <w:rPr>
                <w:rFonts w:hint="eastAsia"/>
                <w:vertAlign w:val="baseline"/>
                <w:lang w:val="en-US" w:eastAsia="zh-CN"/>
              </w:rPr>
              <w:t>6</w:t>
            </w:r>
          </w:p>
        </w:tc>
        <w:tc>
          <w:tcPr>
            <w:tcW w:w="2880" w:type="dxa"/>
            <w:vAlign w:val="center"/>
          </w:tcPr>
          <w:p>
            <w:pPr>
              <w:widowControl w:val="0"/>
              <w:spacing w:line="220" w:lineRule="atLeast"/>
              <w:jc w:val="left"/>
              <w:rPr>
                <w:vertAlign w:val="baseline"/>
              </w:rPr>
            </w:pPr>
            <w:r>
              <w:rPr>
                <w:rFonts w:hint="eastAsia"/>
                <w:vertAlign w:val="baseline"/>
              </w:rPr>
              <w:t>对纳入医疗保障基金支付范围的医疗服务行为和医疗费用进行监督管理</w:t>
            </w:r>
          </w:p>
        </w:tc>
        <w:tc>
          <w:tcPr>
            <w:tcW w:w="2070" w:type="dxa"/>
            <w:vAlign w:val="center"/>
          </w:tcPr>
          <w:p>
            <w:pPr>
              <w:widowControl w:val="0"/>
              <w:spacing w:line="220" w:lineRule="atLeast"/>
              <w:jc w:val="center"/>
              <w:rPr>
                <w:rFonts w:hint="eastAsia" w:eastAsia="微软雅黑"/>
                <w:vertAlign w:val="baseline"/>
                <w:lang w:eastAsia="zh-CN"/>
              </w:rPr>
            </w:pPr>
            <w:r>
              <w:rPr>
                <w:rFonts w:hint="eastAsia"/>
                <w:vertAlign w:val="baseline"/>
                <w:lang w:eastAsia="zh-CN"/>
              </w:rPr>
              <w:t>行政检查</w:t>
            </w:r>
          </w:p>
        </w:tc>
        <w:tc>
          <w:tcPr>
            <w:tcW w:w="8939" w:type="dxa"/>
            <w:vAlign w:val="center"/>
          </w:tcPr>
          <w:p>
            <w:pPr>
              <w:widowControl w:val="0"/>
              <w:spacing w:line="220" w:lineRule="atLeast"/>
              <w:jc w:val="center"/>
              <w:rPr>
                <w:rFonts w:hint="eastAsia"/>
                <w:vertAlign w:val="baseline"/>
              </w:rPr>
            </w:pPr>
          </w:p>
          <w:p>
            <w:pPr>
              <w:widowControl w:val="0"/>
              <w:spacing w:line="220" w:lineRule="atLeast"/>
              <w:jc w:val="left"/>
              <w:rPr>
                <w:rFonts w:hint="eastAsia"/>
                <w:vertAlign w:val="baseline"/>
              </w:rPr>
            </w:pPr>
            <w:r>
              <w:rPr>
                <w:rFonts w:hint="eastAsia"/>
                <w:vertAlign w:val="baseline"/>
              </w:rPr>
              <w:t>《中华人民共和国基本医疗卫生与健康促进法》第八十七条：县级以上人民政府医疗保障主管部门应当提高医疗保障监管能力和水平，对纳入基本医疗保险基金支付范围的医疗服务行为和医疗费用加强监督管理，确保基本医疗保险基金合理使用、安全可控。</w:t>
            </w:r>
          </w:p>
          <w:p>
            <w:pPr>
              <w:widowControl w:val="0"/>
              <w:spacing w:line="220" w:lineRule="atLeast"/>
              <w:jc w:val="left"/>
              <w:rPr>
                <w:rFonts w:hint="eastAsia"/>
                <w:vertAlign w:val="baseline"/>
              </w:rPr>
            </w:pPr>
            <w:r>
              <w:rPr>
                <w:rFonts w:hint="eastAsia"/>
                <w:vertAlign w:val="baseline"/>
              </w:rPr>
              <w:t>《医疗保障基金使用监督管理条例》（国务院令第735号）第二十二条：医疗保障行政部门应当加强对纳入医疗保障基金支付范围的医疗服务行为和医疗费用的监督，规范医疗保障经办业务，依法查处违法使用医疗保障基金的行为。</w:t>
            </w:r>
          </w:p>
          <w:p>
            <w:pPr>
              <w:widowControl w:val="0"/>
              <w:spacing w:line="220" w:lineRule="atLeast"/>
              <w:jc w:val="left"/>
              <w:rPr>
                <w:rFonts w:hint="eastAsia"/>
                <w:vertAlign w:val="baseline"/>
              </w:rPr>
            </w:pPr>
            <w:r>
              <w:rPr>
                <w:rFonts w:hint="eastAsia"/>
                <w:vertAlign w:val="baseline"/>
              </w:rPr>
              <w:t>《医疗机构医疗保障定点管理暂行办法》（国家医保局令第2号）第四十七条第二款：医疗保障行政部门依法依规通过实地检查、抽查、智能监控、大数据分析等方式对定点医疗机构的协议履行情况、医疗保障基金使用情况、医疗服务行为、购买涉及医疗保障基金使用的第三方服务等进行监督。</w:t>
            </w:r>
          </w:p>
          <w:p>
            <w:pPr>
              <w:widowControl w:val="0"/>
              <w:spacing w:line="220" w:lineRule="atLeast"/>
              <w:jc w:val="left"/>
              <w:rPr>
                <w:rFonts w:hint="eastAsia"/>
                <w:vertAlign w:val="baseline"/>
              </w:rPr>
            </w:pPr>
            <w:r>
              <w:rPr>
                <w:rFonts w:hint="eastAsia"/>
                <w:vertAlign w:val="baseline"/>
              </w:rPr>
              <w:t xml:space="preserve">《零售药店医疗保障定点管理暂行办法》（国家医保局令第3号）第四十三条第二款：医疗保障行政部门依法依规通过实地检查、抽查、智能监控、大数据分析等方式对定点零售药店的医保协议履行情况、医疗保障基金使用情况、医疗服务等进行监督。 </w:t>
            </w:r>
          </w:p>
          <w:p>
            <w:pPr>
              <w:widowControl w:val="0"/>
              <w:spacing w:line="220" w:lineRule="atLeast"/>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widowControl w:val="0"/>
              <w:spacing w:line="220" w:lineRule="atLeast"/>
              <w:jc w:val="center"/>
              <w:rPr>
                <w:rFonts w:hint="eastAsia" w:eastAsia="微软雅黑"/>
                <w:vertAlign w:val="baseline"/>
                <w:lang w:val="en-US" w:eastAsia="zh-CN"/>
              </w:rPr>
            </w:pPr>
            <w:r>
              <w:rPr>
                <w:rFonts w:hint="eastAsia"/>
                <w:vertAlign w:val="baseline"/>
                <w:lang w:val="en-US" w:eastAsia="zh-CN"/>
              </w:rPr>
              <w:t>7</w:t>
            </w:r>
          </w:p>
        </w:tc>
        <w:tc>
          <w:tcPr>
            <w:tcW w:w="2880" w:type="dxa"/>
            <w:vAlign w:val="center"/>
          </w:tcPr>
          <w:p>
            <w:pPr>
              <w:widowControl w:val="0"/>
              <w:spacing w:line="220" w:lineRule="atLeast"/>
              <w:jc w:val="left"/>
              <w:rPr>
                <w:vertAlign w:val="baseline"/>
              </w:rPr>
            </w:pPr>
            <w:r>
              <w:rPr>
                <w:rFonts w:hint="eastAsia"/>
                <w:vertAlign w:val="baseline"/>
              </w:rPr>
              <w:t>医疗保险核查</w:t>
            </w:r>
          </w:p>
        </w:tc>
        <w:tc>
          <w:tcPr>
            <w:tcW w:w="2070" w:type="dxa"/>
            <w:vAlign w:val="center"/>
          </w:tcPr>
          <w:p>
            <w:pPr>
              <w:widowControl w:val="0"/>
              <w:spacing w:line="220" w:lineRule="atLeast"/>
              <w:jc w:val="center"/>
              <w:rPr>
                <w:rFonts w:hint="eastAsia" w:eastAsia="微软雅黑"/>
                <w:vertAlign w:val="baseline"/>
                <w:lang w:eastAsia="zh-CN"/>
              </w:rPr>
            </w:pPr>
            <w:r>
              <w:rPr>
                <w:rFonts w:hint="eastAsia"/>
                <w:vertAlign w:val="baseline"/>
                <w:lang w:eastAsia="zh-CN"/>
              </w:rPr>
              <w:t>行政检查</w:t>
            </w:r>
          </w:p>
        </w:tc>
        <w:tc>
          <w:tcPr>
            <w:tcW w:w="8939" w:type="dxa"/>
            <w:vAlign w:val="center"/>
          </w:tcPr>
          <w:p>
            <w:pPr>
              <w:widowControl w:val="0"/>
              <w:spacing w:line="220" w:lineRule="atLeast"/>
              <w:jc w:val="left"/>
              <w:rPr>
                <w:rFonts w:hint="eastAsia"/>
                <w:vertAlign w:val="baseline"/>
              </w:rPr>
            </w:pPr>
            <w:r>
              <w:rPr>
                <w:rFonts w:hint="eastAsia"/>
                <w:vertAlign w:val="baseline"/>
              </w:rPr>
              <w:t>《中华人民共和国社会保险法》第三十一条：社会保险经办机构根据管理服务的需要，可以与医疗机构、药品经营单位签订服务协议，规范医疗服务行为。 医疗机构应当为参保人员提供合理、必要的医疗服务。</w:t>
            </w:r>
          </w:p>
          <w:p>
            <w:pPr>
              <w:widowControl w:val="0"/>
              <w:spacing w:line="220" w:lineRule="atLeast"/>
              <w:jc w:val="left"/>
              <w:rPr>
                <w:vertAlign w:val="baseline"/>
              </w:rPr>
            </w:pPr>
            <w:r>
              <w:rPr>
                <w:rFonts w:hint="eastAsia"/>
                <w:vertAlign w:val="baseline"/>
              </w:rPr>
              <w:t>《社会保险经办条例》（国务院令第765号）第四十二条：社会保险经办机构应当核查下列事项：（一）社会保险登记和待遇享受等情况；（二）社会保险服务机构履行服务协议、执行费用结算项目和标准情况；（三）法律、法规规定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widowControl w:val="0"/>
              <w:spacing w:line="220" w:lineRule="atLeast"/>
              <w:jc w:val="center"/>
              <w:rPr>
                <w:rFonts w:hint="default"/>
                <w:vertAlign w:val="baseline"/>
                <w:lang w:val="en-US" w:eastAsia="zh-CN"/>
              </w:rPr>
            </w:pPr>
            <w:r>
              <w:rPr>
                <w:rFonts w:hint="eastAsia"/>
                <w:vertAlign w:val="baseline"/>
                <w:lang w:val="en-US" w:eastAsia="zh-CN"/>
              </w:rPr>
              <w:t>8</w:t>
            </w:r>
          </w:p>
        </w:tc>
        <w:tc>
          <w:tcPr>
            <w:tcW w:w="2880" w:type="dxa"/>
            <w:vAlign w:val="center"/>
          </w:tcPr>
          <w:p>
            <w:pPr>
              <w:widowControl w:val="0"/>
              <w:spacing w:line="220" w:lineRule="atLeast"/>
              <w:jc w:val="left"/>
              <w:rPr>
                <w:rFonts w:hint="eastAsia"/>
                <w:vertAlign w:val="baseline"/>
              </w:rPr>
            </w:pPr>
            <w:r>
              <w:rPr>
                <w:rFonts w:hint="eastAsia"/>
                <w:vertAlign w:val="baseline"/>
              </w:rPr>
              <w:t>对公立医疗机构药品和高值医用耗材集中采购行为合规性的监督检查</w:t>
            </w:r>
          </w:p>
        </w:tc>
        <w:tc>
          <w:tcPr>
            <w:tcW w:w="2070" w:type="dxa"/>
            <w:vAlign w:val="center"/>
          </w:tcPr>
          <w:p>
            <w:pPr>
              <w:widowControl w:val="0"/>
              <w:spacing w:line="220" w:lineRule="atLeast"/>
              <w:jc w:val="center"/>
              <w:rPr>
                <w:rFonts w:hint="eastAsia"/>
                <w:vertAlign w:val="baseline"/>
                <w:lang w:eastAsia="zh-CN"/>
              </w:rPr>
            </w:pPr>
            <w:r>
              <w:rPr>
                <w:rFonts w:hint="eastAsia"/>
                <w:vertAlign w:val="baseline"/>
                <w:lang w:eastAsia="zh-CN"/>
              </w:rPr>
              <w:t>行政检查</w:t>
            </w:r>
          </w:p>
        </w:tc>
        <w:tc>
          <w:tcPr>
            <w:tcW w:w="8939" w:type="dxa"/>
            <w:vAlign w:val="center"/>
          </w:tcPr>
          <w:p>
            <w:pPr>
              <w:widowControl w:val="0"/>
              <w:spacing w:line="220" w:lineRule="atLeast"/>
              <w:jc w:val="left"/>
              <w:rPr>
                <w:rFonts w:hint="eastAsia"/>
                <w:vertAlign w:val="baseline"/>
              </w:rPr>
            </w:pPr>
            <w:r>
              <w:rPr>
                <w:rFonts w:hint="eastAsia"/>
                <w:vertAlign w:val="baseline"/>
              </w:rPr>
              <w:t>一、准备阶段，严格按照医疗保障执法规定，配备必要的执法装备，按照《云南省医疗保障行政执法公示暂行办法》的规定进行公示。二、实施阶段，执法人员不少于2人，并出示行政执法证件，行政执法人员应按照《云南省医疗保障行政执法全过程记录暂行办法》的规定，记录行政检查过程。三、处置阶段，如果行政相对人不存在违法行为，应按规定结束行政检查；如果行政相对人存在违法行为，应按照法律法规的程序进行调查取证，并按照有关规定进行相应的处理。</w:t>
            </w:r>
          </w:p>
        </w:tc>
      </w:tr>
    </w:tbl>
    <w:p>
      <w:pPr>
        <w:spacing w:line="220" w:lineRule="atLeast"/>
        <w:rPr>
          <w:sz w:val="21"/>
          <w:szCs w:val="21"/>
        </w:rPr>
      </w:pPr>
    </w:p>
    <w:sectPr>
      <w:footerReference r:id="rId5" w:type="default"/>
      <w:pgSz w:w="16838" w:h="11906" w:orient="landscape"/>
      <w:pgMar w:top="1440" w:right="1080" w:bottom="1440" w:left="108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lef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GVmY2E4NjdjMWJmNDA5YmRlZDYyMzEzZWUzODk3YWIifQ=="/>
  </w:docVars>
  <w:rsids>
    <w:rsidRoot w:val="00D31D50"/>
    <w:rsid w:val="00323B43"/>
    <w:rsid w:val="003D37D8"/>
    <w:rsid w:val="00426133"/>
    <w:rsid w:val="004358AB"/>
    <w:rsid w:val="008B7726"/>
    <w:rsid w:val="00D31D50"/>
    <w:rsid w:val="05F215D7"/>
    <w:rsid w:val="069C0A4A"/>
    <w:rsid w:val="0DB97A81"/>
    <w:rsid w:val="1B4606C4"/>
    <w:rsid w:val="1F9C29C7"/>
    <w:rsid w:val="39081679"/>
    <w:rsid w:val="41712F6A"/>
    <w:rsid w:val="450A2C06"/>
    <w:rsid w:val="47BD45B6"/>
    <w:rsid w:val="4A5223D8"/>
    <w:rsid w:val="4B12262A"/>
    <w:rsid w:val="4D7568FA"/>
    <w:rsid w:val="50586801"/>
    <w:rsid w:val="56A1662B"/>
    <w:rsid w:val="5AE967E2"/>
    <w:rsid w:val="62466D04"/>
    <w:rsid w:val="75363F36"/>
    <w:rsid w:val="75AF33A4"/>
    <w:rsid w:val="773E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28</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杨华</cp:lastModifiedBy>
  <cp:lastPrinted>2024-04-24T01:14:00Z</cp:lastPrinted>
  <dcterms:modified xsi:type="dcterms:W3CDTF">2025-06-04T07:41:54Z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A50A8DB549F34B1DA26AFA58514F63EA_12</vt:lpwstr>
  </property>
</Properties>
</file>