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lang w:val="en-US" w:eastAsia="zh-CN" w:bidi="ar"/>
        </w:rPr>
        <w:t>关于思源水业8个水厂（站、点）地名命名、更名完成的公告</w:t>
      </w:r>
    </w:p>
    <w:bookmarkEnd w:id="0"/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t>尊敬的用水户：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t>为充分发挥水厂优势，合理利用有限资源，促进城乡供水的一体化发展，严格规范管理自来水厂，提升到县级命名要求，我公司对8个水厂（站、点）地名进行命名、更名，现将各水厂（站、点）命名、更名如下：</w:t>
      </w:r>
    </w:p>
    <w:p>
      <w:pPr>
        <w:pStyle w:val="2"/>
        <w:keepNext w:val="0"/>
        <w:keepLines w:val="0"/>
        <w:widowControl/>
        <w:suppressLineNumbers w:val="0"/>
        <w:spacing w:before="120" w:beforeAutospacing="0" w:after="120" w:afterAutospacing="0"/>
        <w:jc w:val="center"/>
        <w:rPr>
          <w:rFonts w:hint="default" w:ascii="Times New Roman" w:hAnsi="Times New Roman" w:eastAsia="宋体" w:cs="Times New Roman"/>
          <w:spacing w:val="8"/>
          <w:sz w:val="24"/>
          <w:szCs w:val="24"/>
        </w:rPr>
      </w:pPr>
      <w:r>
        <w:rPr>
          <w:rFonts w:hint="default" w:ascii="Times New Roman" w:hAnsi="Times New Roman" w:eastAsia="宋体" w:cs="Times New Roman"/>
          <w:spacing w:val="8"/>
          <w:sz w:val="24"/>
          <w:szCs w:val="24"/>
        </w:rPr>
        <w:drawing>
          <wp:inline distT="0" distB="0" distL="114300" distR="114300">
            <wp:extent cx="5134610" cy="3062605"/>
            <wp:effectExtent l="0" t="0" r="8890" b="444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40" w:firstLineChars="100"/>
        <w:jc w:val="lef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t xml:space="preserve"> 1.盈江县思源水业有限公司部队坡水厂更名为：盈江县第一自来水厂。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320" w:firstLineChars="100"/>
        <w:jc w:val="lef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t xml:space="preserve">  2.盈江县思源水业有限公司旧城水厂命名为：盈江县第二自来水厂。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t>3.盈江县城镇供水工程（南朗水厂）命名为：盈江县第三自来水厂。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t>4.盈江县木乃河水厂更名为：盈江县木乃河取水站。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t>5.盈江县水槽河水厂更名为：盈江县水槽河取水站。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t>6.盈江县长地方水库取水点命名为：盈江县长地方水库取水站。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t>7.盈江县旧城镇水厂2个取水点分别命名为：盈江旧城南美河取水点、盈江旧城邦坳河取水点。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br w:type="textWrapping"/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t xml:space="preserve">  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t>附：盈江县住房和城乡建设局《关于思源水业8个水厂(站、点)地名命名更名的回复》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br w:type="textWrapping"/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160" w:firstLineChars="1300"/>
        <w:jc w:val="lef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t>盈江县思源水业有限公司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480" w:firstLineChars="14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t>2024年8月16日    </w:t>
      </w:r>
    </w:p>
    <w:p>
      <w:pPr>
        <w:pStyle w:val="2"/>
        <w:keepNext w:val="0"/>
        <w:keepLines w:val="0"/>
        <w:widowControl/>
        <w:suppressLineNumbers w:val="0"/>
        <w:spacing w:line="420" w:lineRule="atLeast"/>
        <w:ind w:left="0" w:firstLine="420"/>
        <w:jc w:val="left"/>
        <w:rPr>
          <w:rFonts w:hint="default" w:ascii="Times New Roman" w:hAnsi="Times New Roman" w:eastAsia="方正仿宋_GBK" w:cs="Times New Roman"/>
          <w:color w:val="454545"/>
          <w:spacing w:val="30"/>
          <w:sz w:val="32"/>
          <w:szCs w:val="32"/>
        </w:rPr>
      </w:pPr>
    </w:p>
    <w:p>
      <w:pPr>
        <w:pStyle w:val="2"/>
        <w:keepNext w:val="0"/>
        <w:keepLines w:val="0"/>
        <w:widowControl/>
        <w:suppressLineNumbers w:val="0"/>
        <w:jc w:val="center"/>
        <w:rPr>
          <w:spacing w:val="8"/>
        </w:rPr>
      </w:pPr>
      <w:r>
        <w:rPr>
          <w:spacing w:val="8"/>
        </w:rPr>
        <w:drawing>
          <wp:inline distT="0" distB="0" distL="114300" distR="114300">
            <wp:extent cx="5372100" cy="6905625"/>
            <wp:effectExtent l="0" t="0" r="0" b="9525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  <w:rPr>
          <w:rFonts w:ascii="Microsoft YaHei UI" w:hAnsi="Microsoft YaHei UI" w:eastAsia="Microsoft YaHei UI" w:cs="Microsoft YaHei UI"/>
          <w:color w:val="454545"/>
          <w:spacing w:val="30"/>
          <w:kern w:val="0"/>
          <w:sz w:val="24"/>
          <w:szCs w:val="24"/>
          <w:shd w:val="clear" w:fill="F5FBFF"/>
          <w:lang w:val="en-US" w:eastAsia="zh-CN" w:bidi="ar"/>
        </w:rPr>
      </w:pPr>
      <w:r>
        <w:rPr>
          <w:spacing w:val="8"/>
        </w:rPr>
        <w:drawing>
          <wp:inline distT="0" distB="0" distL="114300" distR="114300">
            <wp:extent cx="5457825" cy="7800975"/>
            <wp:effectExtent l="0" t="0" r="9525" b="952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方正黑体_GBK" w:hAnsi="方正黑体_GBK" w:eastAsia="方正黑体_GBK" w:cs="方正黑体_GBK"/>
          <w:sz w:val="32"/>
          <w:szCs w:val="32"/>
          <w:shd w:val="clear" w:color="auto" w:fill="auto"/>
        </w:rPr>
      </w:pPr>
      <w:r>
        <w:rPr>
          <w:rFonts w:hint="eastAsia" w:ascii="方正黑体_GBK" w:hAnsi="方正黑体_GBK" w:eastAsia="方正黑体_GBK" w:cs="方正黑体_GBK"/>
          <w:color w:val="454545"/>
          <w:spacing w:val="30"/>
          <w:kern w:val="0"/>
          <w:sz w:val="32"/>
          <w:szCs w:val="32"/>
          <w:shd w:val="clear" w:color="auto" w:fill="auto"/>
          <w:lang w:val="en-US" w:eastAsia="zh-CN" w:bidi="ar"/>
        </w:rPr>
        <w:t>水厂（站、点）相关图片：</w:t>
      </w:r>
    </w:p>
    <w:p>
      <w:pPr>
        <w:pStyle w:val="2"/>
        <w:keepNext w:val="0"/>
        <w:keepLines w:val="0"/>
        <w:widowControl/>
        <w:suppressLineNumbers w:val="0"/>
        <w:jc w:val="center"/>
        <w:rPr>
          <w:shd w:val="clear" w:color="auto" w:fill="auto"/>
        </w:rPr>
      </w:pPr>
      <w:r>
        <w:rPr>
          <w:spacing w:val="8"/>
          <w:shd w:val="clear" w:color="auto" w:fill="auto"/>
        </w:rPr>
        <w:drawing>
          <wp:inline distT="0" distB="0" distL="114300" distR="114300">
            <wp:extent cx="5487035" cy="3182620"/>
            <wp:effectExtent l="0" t="0" r="18415" b="17780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pacing w:val="8"/>
          <w:kern w:val="0"/>
          <w:sz w:val="24"/>
          <w:szCs w:val="24"/>
          <w:shd w:val="clear" w:color="auto" w:fill="auto"/>
          <w:lang w:val="en-US" w:eastAsia="zh-CN" w:bidi="ar"/>
        </w:rPr>
        <w:t>▲</w:t>
      </w:r>
      <w:r>
        <w:rPr>
          <w:rFonts w:hint="eastAsia" w:ascii="宋体" w:hAnsi="宋体" w:eastAsia="宋体" w:cs="宋体"/>
          <w:color w:val="454545"/>
          <w:spacing w:val="30"/>
          <w:kern w:val="0"/>
          <w:sz w:val="24"/>
          <w:szCs w:val="24"/>
          <w:shd w:val="clear" w:color="auto" w:fill="auto"/>
          <w:lang w:val="en-US" w:eastAsia="zh-CN" w:bidi="ar"/>
        </w:rPr>
        <w:t>盈江县第一自来水厂</w:t>
      </w:r>
      <w:r>
        <w:rPr>
          <w:rFonts w:ascii="宋体" w:hAnsi="宋体" w:eastAsia="宋体" w:cs="宋体"/>
          <w:kern w:val="0"/>
          <w:sz w:val="24"/>
          <w:szCs w:val="24"/>
          <w:shd w:val="clear" w:color="auto" w:fill="auto"/>
          <w:lang w:val="en-US" w:eastAsia="zh-CN" w:bidi="ar"/>
        </w:rPr>
        <w:drawing>
          <wp:inline distT="0" distB="0" distL="114300" distR="114300">
            <wp:extent cx="5516880" cy="3387090"/>
            <wp:effectExtent l="0" t="0" r="7620" b="381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pacing w:val="8"/>
          <w:kern w:val="0"/>
          <w:sz w:val="24"/>
          <w:szCs w:val="24"/>
          <w:shd w:val="clear" w:color="auto" w:fill="auto"/>
          <w:lang w:val="en-US" w:eastAsia="zh-CN" w:bidi="ar"/>
        </w:rPr>
        <w:t>▲盈江县第二自来水厂</w:t>
      </w:r>
    </w:p>
    <w:p>
      <w:pPr>
        <w:pStyle w:val="2"/>
        <w:keepNext w:val="0"/>
        <w:keepLines w:val="0"/>
        <w:widowControl/>
        <w:suppressLineNumbers w:val="0"/>
        <w:jc w:val="center"/>
        <w:rPr>
          <w:spacing w:val="8"/>
          <w:shd w:val="clear" w:color="auto" w:fill="auto"/>
        </w:rPr>
      </w:pPr>
      <w:r>
        <w:rPr>
          <w:spacing w:val="8"/>
          <w:shd w:val="clear" w:color="auto" w:fill="auto"/>
        </w:rPr>
        <w:drawing>
          <wp:inline distT="0" distB="0" distL="114300" distR="114300">
            <wp:extent cx="5449570" cy="3602990"/>
            <wp:effectExtent l="0" t="0" r="17780" b="1651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spacing w:val="8"/>
          <w:kern w:val="0"/>
          <w:sz w:val="24"/>
          <w:szCs w:val="24"/>
          <w:shd w:val="clear" w:color="auto" w:fill="auto"/>
          <w:lang w:val="en-US" w:eastAsia="zh-CN" w:bidi="ar"/>
        </w:rPr>
      </w:pPr>
      <w:r>
        <w:rPr>
          <w:rFonts w:hint="eastAsia" w:ascii="宋体" w:hAnsi="宋体" w:eastAsia="宋体" w:cs="宋体"/>
          <w:spacing w:val="8"/>
          <w:kern w:val="0"/>
          <w:sz w:val="24"/>
          <w:szCs w:val="24"/>
          <w:shd w:val="clear" w:color="auto" w:fill="auto"/>
          <w:lang w:val="en-US" w:eastAsia="zh-CN" w:bidi="ar"/>
        </w:rPr>
        <w:t>▲盈江县第三自来水厂</w:t>
      </w:r>
    </w:p>
    <w:p>
      <w:pPr>
        <w:pStyle w:val="2"/>
        <w:keepNext w:val="0"/>
        <w:keepLines w:val="0"/>
        <w:widowControl/>
        <w:suppressLineNumbers w:val="0"/>
        <w:shd w:val="clear" w:fill="F5FBFF"/>
        <w:spacing w:after="0" w:afterAutospacing="0"/>
        <w:jc w:val="center"/>
        <w:rPr>
          <w:rFonts w:hint="eastAsia" w:ascii="Microsoft YaHei UI" w:hAnsi="Microsoft YaHei UI" w:eastAsia="Microsoft YaHei UI" w:cs="Microsoft YaHei UI"/>
          <w:spacing w:val="8"/>
          <w:shd w:val="clear" w:color="auto" w:fill="auto"/>
        </w:rPr>
      </w:pPr>
      <w:r>
        <w:rPr>
          <w:rFonts w:hint="eastAsia" w:ascii="Microsoft YaHei UI" w:hAnsi="Microsoft YaHei UI" w:eastAsia="Microsoft YaHei UI" w:cs="Microsoft YaHei UI"/>
          <w:spacing w:val="8"/>
          <w:shd w:val="clear" w:color="auto" w:fill="auto"/>
        </w:rPr>
        <w:drawing>
          <wp:inline distT="0" distB="0" distL="114300" distR="114300">
            <wp:extent cx="5582285" cy="3291840"/>
            <wp:effectExtent l="0" t="0" r="18415" b="3810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spacing w:val="8"/>
          <w:kern w:val="0"/>
          <w:sz w:val="24"/>
          <w:szCs w:val="24"/>
          <w:shd w:val="clear" w:color="auto" w:fill="auto"/>
          <w:lang w:val="en-US" w:eastAsia="zh-CN" w:bidi="ar"/>
        </w:rPr>
      </w:pPr>
      <w:r>
        <w:rPr>
          <w:rFonts w:hint="eastAsia" w:ascii="宋体" w:hAnsi="宋体" w:eastAsia="宋体" w:cs="宋体"/>
          <w:spacing w:val="8"/>
          <w:kern w:val="0"/>
          <w:sz w:val="24"/>
          <w:szCs w:val="24"/>
          <w:shd w:val="clear" w:color="auto" w:fill="auto"/>
          <w:lang w:val="en-US" w:eastAsia="zh-CN" w:bidi="ar"/>
        </w:rPr>
        <w:t>▲盈江县木乃河取水站</w:t>
      </w:r>
    </w:p>
    <w:p>
      <w:pPr>
        <w:pStyle w:val="2"/>
        <w:keepNext w:val="0"/>
        <w:keepLines w:val="0"/>
        <w:widowControl/>
        <w:suppressLineNumbers w:val="0"/>
        <w:shd w:val="clear" w:fill="F5FBFF"/>
        <w:spacing w:after="0" w:afterAutospacing="0"/>
        <w:jc w:val="center"/>
        <w:rPr>
          <w:rFonts w:hint="eastAsia" w:ascii="Microsoft YaHei UI" w:hAnsi="Microsoft YaHei UI" w:eastAsia="Microsoft YaHei UI" w:cs="Microsoft YaHei UI"/>
          <w:spacing w:val="8"/>
          <w:shd w:val="clear" w:color="auto" w:fill="auto"/>
        </w:rPr>
      </w:pPr>
      <w:r>
        <w:rPr>
          <w:rFonts w:hint="eastAsia" w:ascii="Microsoft YaHei UI" w:hAnsi="Microsoft YaHei UI" w:eastAsia="Microsoft YaHei UI" w:cs="Microsoft YaHei UI"/>
          <w:spacing w:val="8"/>
          <w:shd w:val="clear" w:color="auto" w:fill="auto"/>
        </w:rPr>
        <w:drawing>
          <wp:inline distT="0" distB="0" distL="114300" distR="114300">
            <wp:extent cx="5615305" cy="3554730"/>
            <wp:effectExtent l="0" t="0" r="4445" b="7620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554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5FBFF"/>
        <w:spacing w:after="0" w:afterAutospacing="0"/>
        <w:jc w:val="center"/>
        <w:rPr>
          <w:rFonts w:hint="eastAsia" w:ascii="Microsoft YaHei UI" w:hAnsi="Microsoft YaHei UI" w:eastAsia="Microsoft YaHei UI" w:cs="Microsoft YaHei UI"/>
          <w:spacing w:val="8"/>
          <w:shd w:val="clear" w:color="auto" w:fill="auto"/>
        </w:rPr>
      </w:pPr>
      <w:r>
        <w:rPr>
          <w:rFonts w:hint="eastAsia" w:ascii="宋体" w:hAnsi="宋体" w:eastAsia="宋体" w:cs="宋体"/>
          <w:spacing w:val="8"/>
          <w:kern w:val="0"/>
          <w:sz w:val="24"/>
          <w:szCs w:val="24"/>
          <w:shd w:val="clear" w:color="auto" w:fill="auto"/>
          <w:lang w:val="en-US" w:eastAsia="zh-CN" w:bidi="ar"/>
        </w:rPr>
        <w:t>▲盈江县水槽河取水站</w:t>
      </w:r>
    </w:p>
    <w:p>
      <w:pPr>
        <w:keepNext w:val="0"/>
        <w:keepLines w:val="0"/>
        <w:widowControl/>
        <w:suppressLineNumbers w:val="0"/>
        <w:jc w:val="center"/>
        <w:rPr>
          <w:shd w:val="clear" w:color="auto" w:fill="auto"/>
        </w:rPr>
      </w:pPr>
      <w:r>
        <w:rPr>
          <w:rFonts w:ascii="宋体" w:hAnsi="宋体" w:eastAsia="宋体" w:cs="宋体"/>
          <w:spacing w:val="8"/>
          <w:kern w:val="0"/>
          <w:sz w:val="25"/>
          <w:szCs w:val="25"/>
          <w:shd w:val="clear" w:color="auto" w:fill="auto"/>
          <w:lang w:val="en-US" w:eastAsia="zh-CN" w:bidi="ar"/>
        </w:rPr>
        <w:drawing>
          <wp:inline distT="0" distB="0" distL="114300" distR="114300">
            <wp:extent cx="5638800" cy="3606800"/>
            <wp:effectExtent l="0" t="0" r="0" b="12700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pacing w:val="8"/>
          <w:kern w:val="0"/>
          <w:sz w:val="24"/>
          <w:szCs w:val="24"/>
          <w:shd w:val="clear" w:color="auto" w:fill="auto"/>
          <w:lang w:val="en-US" w:eastAsia="zh-CN" w:bidi="ar"/>
        </w:rPr>
        <w:t>▲盈江县长地方水库取水站</w:t>
      </w:r>
    </w:p>
    <w:p>
      <w:pPr>
        <w:pStyle w:val="2"/>
        <w:keepNext w:val="0"/>
        <w:keepLines w:val="0"/>
        <w:widowControl/>
        <w:suppressLineNumbers w:val="0"/>
        <w:jc w:val="center"/>
        <w:rPr>
          <w:spacing w:val="8"/>
          <w:shd w:val="clear" w:color="auto" w:fill="auto"/>
        </w:rPr>
      </w:pPr>
      <w:r>
        <w:rPr>
          <w:spacing w:val="8"/>
          <w:shd w:val="clear" w:color="auto" w:fill="auto"/>
        </w:rPr>
        <w:drawing>
          <wp:inline distT="0" distB="0" distL="114300" distR="114300">
            <wp:extent cx="5810885" cy="3787775"/>
            <wp:effectExtent l="0" t="0" r="18415" b="317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  <w:rPr>
          <w:spacing w:val="8"/>
          <w:shd w:val="clear" w:color="auto" w:fill="auto"/>
        </w:rPr>
      </w:pPr>
      <w:r>
        <w:rPr>
          <w:rFonts w:hint="eastAsia" w:ascii="宋体" w:hAnsi="宋体" w:eastAsia="宋体" w:cs="宋体"/>
          <w:spacing w:val="8"/>
          <w:kern w:val="0"/>
          <w:sz w:val="24"/>
          <w:szCs w:val="24"/>
          <w:shd w:val="clear" w:color="auto" w:fill="auto"/>
          <w:lang w:val="en-US" w:eastAsia="zh-CN" w:bidi="ar"/>
        </w:rPr>
        <w:t>▲盈江旧城南美河取水点</w:t>
      </w:r>
    </w:p>
    <w:p>
      <w:pPr>
        <w:pStyle w:val="2"/>
        <w:keepNext w:val="0"/>
        <w:keepLines w:val="0"/>
        <w:widowControl/>
        <w:suppressLineNumbers w:val="0"/>
        <w:jc w:val="center"/>
        <w:rPr>
          <w:spacing w:val="8"/>
          <w:shd w:val="clear" w:color="auto" w:fill="auto"/>
        </w:rPr>
      </w:pPr>
      <w:r>
        <w:rPr>
          <w:spacing w:val="8"/>
          <w:shd w:val="clear" w:color="auto" w:fill="auto"/>
        </w:rPr>
        <w:drawing>
          <wp:inline distT="0" distB="0" distL="114300" distR="114300">
            <wp:extent cx="5392420" cy="3140710"/>
            <wp:effectExtent l="0" t="0" r="17780" b="254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spacing w:val="8"/>
          <w:kern w:val="0"/>
          <w:sz w:val="24"/>
          <w:szCs w:val="24"/>
          <w:shd w:val="clear" w:color="auto" w:fill="auto"/>
          <w:lang w:val="en-US" w:eastAsia="zh-CN" w:bidi="ar"/>
        </w:rPr>
      </w:pPr>
      <w:r>
        <w:rPr>
          <w:rFonts w:hint="eastAsia" w:ascii="宋体" w:hAnsi="宋体" w:eastAsia="宋体" w:cs="宋体"/>
          <w:spacing w:val="8"/>
          <w:kern w:val="0"/>
          <w:sz w:val="24"/>
          <w:szCs w:val="24"/>
          <w:shd w:val="clear" w:color="auto" w:fill="auto"/>
          <w:lang w:val="en-US" w:eastAsia="zh-CN" w:bidi="ar"/>
        </w:rPr>
        <w:t>▲盈江旧城邦坳河取水点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565BD8"/>
    <w:rsid w:val="2C565BD8"/>
    <w:rsid w:val="3DE7218A"/>
    <w:rsid w:val="5ACF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德宏州盈江县党政机关单位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2024-09-11T03:26:00Z</dcterms:created>
  <dc:creator>Administrator</dc:creator>
  <cp:lastModifiedBy>Administrator</cp:lastModifiedBy>
  <dcterms:modified xsi:type="dcterms:W3CDTF">2024-09-11T06:41:06Z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