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  <w:lang w:eastAsia="zh-CN"/>
        </w:rPr>
        <w:t>支那乡人民政府</w:t>
      </w:r>
      <w:r>
        <w:rPr>
          <w:rFonts w:hint="eastAsia" w:ascii="方正小标宋_GBK" w:eastAsia="方正小标宋_GBK"/>
          <w:sz w:val="44"/>
          <w:szCs w:val="44"/>
          <w:lang w:val="en-US" w:eastAsia="zh-CN"/>
        </w:rPr>
        <w:t>2020年政府信息公开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eastAsia="方正小标宋_GBK"/>
          <w:sz w:val="44"/>
          <w:szCs w:val="44"/>
          <w:lang w:val="en-US" w:eastAsia="zh-CN"/>
        </w:rPr>
      </w:pPr>
      <w:r>
        <w:rPr>
          <w:rFonts w:hint="eastAsia" w:ascii="方正小标宋_GBK" w:eastAsia="方正小标宋_GBK"/>
          <w:sz w:val="44"/>
          <w:szCs w:val="44"/>
          <w:lang w:val="en-US" w:eastAsia="zh-CN"/>
        </w:rPr>
        <w:t>工作年度报告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eastAsia="方正小标宋_GBK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方正黑体_GBK" w:hAnsi="方正黑体_GBK" w:eastAsia="方正黑体_GBK" w:cs="方正黑体_GBK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eastAsia" w:ascii="方正黑体_GBK" w:hAnsi="Times New Roman" w:eastAsia="方正黑体_GBK"/>
          <w:sz w:val="32"/>
          <w:szCs w:val="32"/>
        </w:rPr>
        <w:t>总体情况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50" w:beforeAutospacing="0" w:after="150" w:afterAutospacing="0" w:line="600" w:lineRule="exact"/>
        <w:ind w:right="0" w:firstLine="640" w:firstLineChars="200"/>
        <w:textAlignment w:val="auto"/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在乡党委、政府的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统一部署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下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，</w:t>
      </w:r>
      <w:r>
        <w:rPr>
          <w:rFonts w:hint="eastAsia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支那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乡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认真贯彻《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中华人民共和国政府信息公开条例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》和各级规定的各项要求，在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2020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年完善政府信息公开体制机制的基础上，进一步加强组织领导，采取有效措施，扎实推动政府信息公开</w:t>
      </w:r>
      <w:bookmarkStart w:id="0" w:name="_GoBack"/>
      <w:bookmarkEnd w:id="0"/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工作有序开展。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3" w:lineRule="atLeast"/>
        <w:ind w:right="0" w:firstLine="643" w:firstLineChars="200"/>
        <w:jc w:val="both"/>
        <w:rPr>
          <w:rFonts w:hint="eastAsia" w:ascii="Times New Roman" w:hAnsi="Times New Roman" w:eastAsia="方正仿宋_GBK" w:cs="Times New Roman"/>
          <w:i w:val="0"/>
          <w:caps w:val="0"/>
          <w:color w:val="666666"/>
          <w:spacing w:val="0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一是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切实加强对政府信息公开工作的组织领导。</w:t>
      </w:r>
      <w:r>
        <w:rPr>
          <w:rFonts w:hint="eastAsia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支那乡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党委、政府高度重视政府信息公开工作，详细安排部署了</w:t>
      </w:r>
      <w:r>
        <w:rPr>
          <w:rFonts w:hint="eastAsia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支那乡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政府信息公开工作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color w:val="666666"/>
          <w:spacing w:val="0"/>
          <w:sz w:val="32"/>
          <w:szCs w:val="32"/>
          <w:shd w:val="clear" w:color="auto" w:fill="FFFFFF"/>
          <w:lang w:eastAsia="zh-CN"/>
        </w:rPr>
        <w:t>二</w:t>
      </w:r>
      <w:r>
        <w:rPr>
          <w:rFonts w:hint="default" w:ascii="Times New Roman" w:hAnsi="Times New Roman" w:eastAsia="方正仿宋_GBK" w:cs="Times New Roman"/>
          <w:b/>
          <w:bCs/>
          <w:i w:val="0"/>
          <w:caps w:val="0"/>
          <w:color w:val="666666"/>
          <w:spacing w:val="0"/>
          <w:sz w:val="32"/>
          <w:szCs w:val="32"/>
          <w:shd w:val="clear" w:color="auto" w:fill="FFFFFF"/>
        </w:rPr>
        <w:t>是</w:t>
      </w:r>
      <w:r>
        <w:rPr>
          <w:rFonts w:hint="default" w:ascii="Times New Roman" w:hAnsi="Times New Roman" w:eastAsia="方正仿宋_GBK" w:cs="Times New Roman"/>
          <w:i w:val="0"/>
          <w:caps w:val="0"/>
          <w:color w:val="666666"/>
          <w:spacing w:val="0"/>
          <w:sz w:val="32"/>
          <w:szCs w:val="32"/>
          <w:shd w:val="clear" w:color="auto" w:fill="FFFFFF"/>
        </w:rPr>
        <w:t>完善政务信息公开指南和目录。本着高效、快捷、便民的原则，及时完善分中心政务信息公开指南和目录</w:t>
      </w:r>
      <w:r>
        <w:rPr>
          <w:rFonts w:hint="eastAsia" w:ascii="Times New Roman" w:hAnsi="Times New Roman" w:eastAsia="方正仿宋_GBK" w:cs="Times New Roman"/>
          <w:i w:val="0"/>
          <w:caps w:val="0"/>
          <w:color w:val="666666"/>
          <w:spacing w:val="0"/>
          <w:sz w:val="32"/>
          <w:szCs w:val="32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严格遵循政府信息公开基本原则开展信息公开工作，做到“依法公开，真实公正，注重实效，有利监督”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color w:val="666666"/>
          <w:spacing w:val="0"/>
          <w:sz w:val="32"/>
          <w:szCs w:val="32"/>
          <w:shd w:val="clear" w:color="auto" w:fill="FFFFFF"/>
          <w:lang w:eastAsia="zh-CN"/>
        </w:rPr>
        <w:t>三</w:t>
      </w:r>
      <w:r>
        <w:rPr>
          <w:rFonts w:hint="default" w:ascii="Times New Roman" w:hAnsi="Times New Roman" w:eastAsia="方正仿宋_GBK" w:cs="Times New Roman"/>
          <w:b/>
          <w:bCs/>
          <w:i w:val="0"/>
          <w:caps w:val="0"/>
          <w:color w:val="666666"/>
          <w:spacing w:val="0"/>
          <w:sz w:val="32"/>
          <w:szCs w:val="32"/>
          <w:shd w:val="clear" w:color="auto" w:fill="FFFFFF"/>
        </w:rPr>
        <w:t>是</w:t>
      </w:r>
      <w:r>
        <w:rPr>
          <w:rFonts w:hint="default" w:ascii="Times New Roman" w:hAnsi="Times New Roman" w:eastAsia="方正仿宋_GBK" w:cs="Times New Roman"/>
          <w:i w:val="0"/>
          <w:caps w:val="0"/>
          <w:color w:val="666666"/>
          <w:spacing w:val="0"/>
          <w:sz w:val="32"/>
          <w:szCs w:val="32"/>
          <w:shd w:val="clear" w:color="auto" w:fill="FFFFFF"/>
        </w:rPr>
        <w:t>加强政务信息公开载体建设。利用网站政务公开栏主动公开相关文件，公民、法人和其他组织均可</w:t>
      </w:r>
      <w:r>
        <w:rPr>
          <w:rFonts w:hint="eastAsia" w:eastAsia="方正仿宋_GBK" w:cs="Times New Roman"/>
          <w:i w:val="0"/>
          <w:caps w:val="0"/>
          <w:color w:val="666666"/>
          <w:spacing w:val="0"/>
          <w:sz w:val="32"/>
          <w:szCs w:val="32"/>
          <w:shd w:val="clear" w:color="auto" w:fill="FFFFFF"/>
          <w:lang w:eastAsia="zh-CN"/>
        </w:rPr>
        <w:t>登录</w:t>
      </w:r>
      <w:r>
        <w:rPr>
          <w:rFonts w:hint="default" w:ascii="Times New Roman" w:hAnsi="Times New Roman" w:eastAsia="方正仿宋_GBK" w:cs="Times New Roman"/>
          <w:i w:val="0"/>
          <w:caps w:val="0"/>
          <w:color w:val="666666"/>
          <w:spacing w:val="0"/>
          <w:sz w:val="32"/>
          <w:szCs w:val="32"/>
          <w:shd w:val="clear" w:color="auto" w:fill="FFFFFF"/>
        </w:rPr>
        <w:t>网站，按照标题、文号等方式进行查询。</w:t>
      </w:r>
      <w:r>
        <w:rPr>
          <w:rFonts w:hint="eastAsia" w:ascii="Times New Roman" w:hAnsi="Times New Roman" w:eastAsia="方正仿宋_GBK" w:cs="Times New Roman"/>
          <w:b/>
          <w:bCs/>
          <w:i w:val="0"/>
          <w:caps w:val="0"/>
          <w:color w:val="666666"/>
          <w:spacing w:val="0"/>
          <w:sz w:val="32"/>
          <w:szCs w:val="32"/>
          <w:shd w:val="clear" w:color="auto" w:fill="FFFFFF"/>
          <w:lang w:eastAsia="zh-CN"/>
        </w:rPr>
        <w:t>四是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健全配套措施，提高依法公开水平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。</w:t>
      </w:r>
      <w:r>
        <w:rPr>
          <w:rFonts w:hint="eastAsia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支那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乡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在推进政府信息公开工作的过程中，严格依法管理，严格把握公开程序，边学习、边修改、边完善，使政府信息公开工作制度化和规范化</w:t>
      </w:r>
      <w:r>
        <w:rPr>
          <w:rFonts w:hint="eastAsia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i w:val="0"/>
          <w:caps w:val="0"/>
          <w:color w:val="333333"/>
          <w:spacing w:val="0"/>
          <w:sz w:val="32"/>
          <w:szCs w:val="32"/>
          <w:shd w:val="clear" w:color="auto" w:fill="FFFFFF"/>
        </w:rPr>
        <w:t>广泛接受服务对象的监督，切实做好政府信息公开工作。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200" w:right="0" w:rightChars="0"/>
        <w:jc w:val="both"/>
        <w:textAlignment w:val="auto"/>
        <w:outlineLvl w:val="9"/>
        <w:rPr>
          <w:rFonts w:hint="eastAsia" w:ascii="方正黑体_GBK" w:hAnsi="Times New Roman" w:eastAsia="方正黑体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主动公开政府信息情况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200" w:right="0" w:rightChars="0"/>
        <w:jc w:val="both"/>
        <w:textAlignment w:val="auto"/>
        <w:outlineLvl w:val="9"/>
        <w:rPr>
          <w:rFonts w:hint="eastAsia" w:ascii="方正黑体_GBK" w:hAnsi="Times New Roman" w:eastAsia="方正黑体_GBK"/>
          <w:sz w:val="32"/>
          <w:szCs w:val="32"/>
        </w:rPr>
      </w:pPr>
    </w:p>
    <w:tbl>
      <w:tblPr>
        <w:tblStyle w:val="5"/>
        <w:tblW w:w="0" w:type="auto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2694"/>
        <w:gridCol w:w="2057"/>
        <w:gridCol w:w="2185"/>
        <w:gridCol w:w="2210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59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第二十条第(一)项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本年新制作数量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本年新公开数量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对外公开总数量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7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规章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9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规范性文件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4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第二十条第(五)项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本年增/减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13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行政许可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其他对外管理服务事项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06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第二十条第(六)项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7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本年增/减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处理决定数量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行政处罚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18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行政强制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1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2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8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第二十条第(八)项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2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上一年项目数量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本年增/减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4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行政事业性收费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3" w:hRule="atLeast"/>
          <w:jc w:val="center"/>
        </w:trPr>
        <w:tc>
          <w:tcPr>
            <w:tcW w:w="914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第二十条第(九)项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信息内容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采购项目数量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采购总金额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2" w:hRule="atLeast"/>
          <w:jc w:val="center"/>
        </w:trPr>
        <w:tc>
          <w:tcPr>
            <w:tcW w:w="26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kern w:val="0"/>
                <w:sz w:val="21"/>
                <w:szCs w:val="21"/>
              </w:rPr>
              <w:t>政府集中采购</w:t>
            </w:r>
          </w:p>
        </w:tc>
        <w:tc>
          <w:tcPr>
            <w:tcW w:w="205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43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</w:tr>
    </w:tbl>
    <w:p>
      <w:pPr>
        <w:spacing w:line="560" w:lineRule="exact"/>
        <w:jc w:val="center"/>
        <w:rPr>
          <w:rFonts w:hint="eastAsia" w:ascii="方正黑体_GBK" w:hAnsi="Times New Roman" w:eastAsia="方正黑体_GBK"/>
          <w:sz w:val="32"/>
          <w:szCs w:val="32"/>
        </w:rPr>
      </w:pPr>
    </w:p>
    <w:p>
      <w:pPr>
        <w:spacing w:line="560" w:lineRule="exact"/>
        <w:jc w:val="center"/>
        <w:rPr>
          <w:rFonts w:hint="eastAsia" w:ascii="方正黑体_GBK" w:hAnsi="Times New Roman" w:eastAsia="方正黑体_GBK"/>
          <w:sz w:val="32"/>
          <w:szCs w:val="32"/>
        </w:rPr>
      </w:pPr>
    </w:p>
    <w:p>
      <w:pPr>
        <w:spacing w:line="560" w:lineRule="exact"/>
        <w:jc w:val="both"/>
        <w:rPr>
          <w:rFonts w:hint="eastAsia" w:ascii="方正黑体_GBK" w:hAnsi="Times New Roman" w:eastAsia="方正黑体_GBK"/>
          <w:sz w:val="32"/>
          <w:szCs w:val="32"/>
        </w:rPr>
      </w:pPr>
    </w:p>
    <w:p>
      <w:pPr>
        <w:spacing w:line="560" w:lineRule="exact"/>
        <w:jc w:val="left"/>
        <w:rPr>
          <w:rFonts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三、收到和处理政府信息公开申请情况</w:t>
      </w:r>
    </w:p>
    <w:tbl>
      <w:tblPr>
        <w:tblStyle w:val="5"/>
        <w:tblpPr w:leftFromText="180" w:rightFromText="180" w:vertAnchor="text" w:horzAnchor="page" w:tblpX="1072" w:tblpY="561"/>
        <w:tblOverlap w:val="never"/>
        <w:tblW w:w="10065" w:type="dxa"/>
        <w:tblInd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93"/>
        <w:gridCol w:w="993"/>
        <w:gridCol w:w="3118"/>
        <w:gridCol w:w="709"/>
        <w:gridCol w:w="709"/>
        <w:gridCol w:w="708"/>
        <w:gridCol w:w="709"/>
        <w:gridCol w:w="851"/>
        <w:gridCol w:w="567"/>
        <w:gridCol w:w="708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3" w:hRule="atLeast"/>
        </w:trPr>
        <w:tc>
          <w:tcPr>
            <w:tcW w:w="5104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kern w:val="0"/>
                <w:sz w:val="22"/>
                <w:szCs w:val="22"/>
              </w:rPr>
              <w:t>（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本列数据的第一项加第二项之和等于第三项加第四项之和</w:t>
            </w:r>
            <w:r>
              <w:rPr>
                <w:rFonts w:hint="eastAsia" w:ascii="Times New Roman" w:hAnsi="Times New Roman"/>
                <w:color w:val="000000"/>
                <w:kern w:val="0"/>
                <w:sz w:val="22"/>
                <w:szCs w:val="22"/>
              </w:rPr>
              <w:t>）</w:t>
            </w:r>
          </w:p>
        </w:tc>
        <w:tc>
          <w:tcPr>
            <w:tcW w:w="496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申请人情况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93" w:hRule="atLeast"/>
        </w:trPr>
        <w:tc>
          <w:tcPr>
            <w:tcW w:w="510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自然人</w:t>
            </w:r>
          </w:p>
        </w:tc>
        <w:tc>
          <w:tcPr>
            <w:tcW w:w="3544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法人或其他组织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总计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02" w:hRule="atLeast"/>
        </w:trPr>
        <w:tc>
          <w:tcPr>
            <w:tcW w:w="5104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商业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企业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科研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机构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社会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公益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组织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法律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服务</w:t>
            </w: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</w:rPr>
              <w:t xml:space="preserve"> 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机构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其他</w:t>
            </w:r>
          </w:p>
        </w:tc>
        <w:tc>
          <w:tcPr>
            <w:tcW w:w="7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51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一、本年新收政府信息公开申请数量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51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二、上年结转政府信息公开申请数量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sz w:val="22"/>
                <w:szCs w:val="22"/>
              </w:rPr>
              <w:t>三</w:t>
            </w: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、</w:t>
            </w:r>
            <w:r>
              <w:rPr>
                <w:rFonts w:ascii="Times New Roman" w:hAnsi="宋体"/>
                <w:color w:val="000000"/>
                <w:sz w:val="22"/>
                <w:szCs w:val="22"/>
              </w:rPr>
              <w:t>本年度办理结果</w:t>
            </w:r>
          </w:p>
        </w:tc>
        <w:tc>
          <w:tcPr>
            <w:tcW w:w="41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(一)予以公开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73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(二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）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部分公开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（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区分处理的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，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只计这一情形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，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不计其他情形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(三)不予公开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1.属于国家秘密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2.其他法律行政法规禁止公开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3.危及“三安全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一稳定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”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4.保护第三方合法权益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5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属于三类内部事务信息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6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属于四类过程性信息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7.属于行政执法案卷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8.属于行政查询事项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(四)无法提供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1.本机关不掌握相关政府信息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2.没有现成信息需要另行制作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3.补正后申请内容仍不明确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(五)不予处理</w:t>
            </w: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1</w:t>
            </w:r>
            <w:r>
              <w:rPr>
                <w:rFonts w:hint="eastAsia" w:ascii="Times New Roman" w:hAnsi="Times New Roman" w:eastAsia="方正仿宋_GBK"/>
                <w:color w:val="000000"/>
                <w:kern w:val="0"/>
                <w:szCs w:val="21"/>
              </w:rPr>
              <w:t>.</w:t>
            </w: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信访举报投诉类申请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2.重复申请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3.要求提供公开出版物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4.无正当理由大量反复申请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4"/>
                <w:lang w:val="en-US" w:eastAsia="zh-CN"/>
              </w:rPr>
            </w:pPr>
            <w:r>
              <w:rPr>
                <w:rFonts w:hint="eastAsia"/>
                <w:color w:val="000000"/>
                <w:sz w:val="24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5.要求行政机关确认或重新出具已获取信息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(六)其他处理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99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411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 w:eastAsia="方正仿宋_GBK"/>
                <w:color w:val="000000"/>
                <w:szCs w:val="21"/>
              </w:rPr>
            </w:pPr>
            <w:r>
              <w:rPr>
                <w:rFonts w:ascii="Times New Roman" w:hAnsi="Times New Roman" w:eastAsia="方正仿宋_GBK"/>
                <w:color w:val="000000"/>
                <w:kern w:val="0"/>
                <w:szCs w:val="21"/>
              </w:rPr>
              <w:t>(七)总计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84" w:hRule="atLeast"/>
        </w:trPr>
        <w:tc>
          <w:tcPr>
            <w:tcW w:w="5104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宋体"/>
                <w:color w:val="000000"/>
                <w:kern w:val="0"/>
                <w:sz w:val="22"/>
                <w:szCs w:val="22"/>
              </w:rPr>
              <w:t>四、结转下年度继续办理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Times New Roman" w:hAnsi="Times New Roman" w:eastAsia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0"/>
        </w:numPr>
        <w:spacing w:line="560" w:lineRule="exact"/>
        <w:jc w:val="both"/>
        <w:rPr>
          <w:rFonts w:hint="eastAsia" w:ascii="方正黑体_GBK" w:eastAsia="方正黑体_GBK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560" w:lineRule="exact"/>
        <w:jc w:val="both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  <w:lang w:eastAsia="zh-CN"/>
        </w:rPr>
        <w:t>四、</w:t>
      </w:r>
      <w:r>
        <w:rPr>
          <w:rFonts w:hint="eastAsia" w:ascii="方正黑体_GBK" w:hAnsi="Times New Roman" w:eastAsia="方正黑体_GBK"/>
          <w:sz w:val="32"/>
          <w:szCs w:val="32"/>
        </w:rPr>
        <w:t>政府信息公开行政复议、行政诉讼情况</w:t>
      </w:r>
    </w:p>
    <w:p>
      <w:pPr>
        <w:numPr>
          <w:ilvl w:val="0"/>
          <w:numId w:val="0"/>
        </w:numPr>
        <w:spacing w:line="560" w:lineRule="exact"/>
        <w:ind w:leftChars="200"/>
        <w:jc w:val="both"/>
        <w:rPr>
          <w:rFonts w:hint="eastAsia" w:ascii="方正黑体_GBK" w:hAnsi="Times New Roman" w:eastAsia="方正黑体_GBK"/>
          <w:sz w:val="32"/>
          <w:szCs w:val="32"/>
        </w:rPr>
      </w:pPr>
    </w:p>
    <w:tbl>
      <w:tblPr>
        <w:tblStyle w:val="5"/>
        <w:tblW w:w="9781" w:type="dxa"/>
        <w:tblInd w:w="-492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709"/>
        <w:gridCol w:w="709"/>
        <w:gridCol w:w="709"/>
        <w:gridCol w:w="708"/>
        <w:gridCol w:w="573"/>
        <w:gridCol w:w="595"/>
        <w:gridCol w:w="627"/>
        <w:gridCol w:w="648"/>
        <w:gridCol w:w="594"/>
        <w:gridCol w:w="507"/>
        <w:gridCol w:w="709"/>
        <w:gridCol w:w="709"/>
        <w:gridCol w:w="708"/>
        <w:gridCol w:w="709"/>
        <w:gridCol w:w="567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3408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行政复议</w:t>
            </w:r>
          </w:p>
        </w:tc>
        <w:tc>
          <w:tcPr>
            <w:tcW w:w="6373" w:type="dxa"/>
            <w:gridSpan w:val="10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行政诉讼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维持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纠正</w:t>
            </w:r>
          </w:p>
        </w:tc>
        <w:tc>
          <w:tcPr>
            <w:tcW w:w="70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其他 结果</w:t>
            </w:r>
          </w:p>
        </w:tc>
        <w:tc>
          <w:tcPr>
            <w:tcW w:w="7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尚未 审结</w:t>
            </w:r>
          </w:p>
        </w:tc>
        <w:tc>
          <w:tcPr>
            <w:tcW w:w="57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总计</w:t>
            </w:r>
          </w:p>
        </w:tc>
        <w:tc>
          <w:tcPr>
            <w:tcW w:w="297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未经复议直接起诉</w:t>
            </w:r>
          </w:p>
        </w:tc>
        <w:tc>
          <w:tcPr>
            <w:tcW w:w="3402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复议后起诉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7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7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维持</w:t>
            </w: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纠正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其他 结果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尚未 审结</w:t>
            </w:r>
          </w:p>
        </w:tc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总计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维持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结果 纠正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其他 结果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尚未 审结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总计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0" w:hRule="atLeast"/>
        </w:trPr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6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64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  <w:tc>
          <w:tcPr>
            <w:tcW w:w="5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noWrap w:val="0"/>
            <w:tcMar>
              <w:top w:w="38" w:type="dxa"/>
              <w:left w:w="75" w:type="dxa"/>
              <w:bottom w:w="38" w:type="dxa"/>
              <w:right w:w="7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0</w:t>
            </w:r>
          </w:p>
        </w:tc>
      </w:tr>
    </w:tbl>
    <w:p>
      <w:pPr>
        <w:numPr>
          <w:ilvl w:val="0"/>
          <w:numId w:val="0"/>
        </w:numPr>
        <w:spacing w:line="560" w:lineRule="exact"/>
        <w:rPr>
          <w:rFonts w:hint="eastAsia" w:ascii="方正黑体_GBK" w:eastAsia="方正黑体_GBK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560" w:lineRule="exact"/>
        <w:jc w:val="left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ascii="方正黑体_GBK" w:eastAsia="方正黑体_GBK"/>
          <w:sz w:val="32"/>
          <w:szCs w:val="32"/>
          <w:lang w:eastAsia="zh-CN"/>
        </w:rPr>
        <w:t>五、</w:t>
      </w:r>
      <w:r>
        <w:rPr>
          <w:rFonts w:hint="eastAsia" w:ascii="方正黑体_GBK" w:hAnsi="Times New Roman" w:eastAsia="方正黑体_GBK"/>
          <w:sz w:val="32"/>
          <w:szCs w:val="32"/>
        </w:rPr>
        <w:t>存在的主要问题及改进情况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2020年</w:t>
      </w:r>
      <w:r>
        <w:rPr>
          <w:rFonts w:hint="eastAsia" w:eastAsia="仿宋_GB2312" w:cs="Times New Roman"/>
          <w:sz w:val="32"/>
          <w:szCs w:val="32"/>
          <w:lang w:eastAsia="zh-CN"/>
        </w:rPr>
        <w:t>支那乡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政府信息公开工作取得了一定成效，但还存在一些不足：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一是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主动公开意识还不够强，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部分人员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对政务公开工作重要性认识不到位，工作推进较为滞后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，总体公开数量不足，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公开力度有待进一步加大，公开更新还不够及时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，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政务信息公开的内容还不够全面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二是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政务公开工作队伍建设不完善，政务公开业务人员经常变动，容易造成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工作内容不熟悉、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工作脱节。</w:t>
      </w:r>
      <w:r>
        <w:rPr>
          <w:rFonts w:hint="eastAsia" w:ascii="Times New Roman" w:hAnsi="Times New Roman" w:eastAsia="仿宋_GB2312" w:cs="Times New Roman"/>
          <w:b/>
          <w:bCs/>
          <w:kern w:val="2"/>
          <w:sz w:val="32"/>
          <w:szCs w:val="32"/>
          <w:lang w:val="en-US" w:eastAsia="zh-CN" w:bidi="ar-SA"/>
        </w:rPr>
        <w:t>三</w:t>
      </w: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  <w:lang w:val="en-US" w:eastAsia="zh-CN" w:bidi="ar-SA"/>
        </w:rPr>
        <w:t>是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政务信息公开</w:t>
      </w:r>
      <w:r>
        <w:rPr>
          <w:rFonts w:hint="eastAsia" w:ascii="Times New Roman" w:hAnsi="Times New Roman" w:eastAsia="仿宋_GB2312" w:cs="Times New Roman"/>
          <w:kern w:val="2"/>
          <w:sz w:val="32"/>
          <w:szCs w:val="32"/>
          <w:lang w:val="en-US" w:eastAsia="zh-CN" w:bidi="ar-SA"/>
        </w:rPr>
        <w:t>宣传不足，群众关注度不够、浏览量低。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方正黑体_GBK" w:hAnsi="方正黑体_GBK" w:eastAsia="仿宋_GB2312" w:cs="方正黑体_GBK"/>
          <w:i w:val="0"/>
          <w:caps w:val="0"/>
          <w:color w:val="666666"/>
          <w:spacing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下一步，将结合</w:t>
      </w:r>
      <w:r>
        <w:rPr>
          <w:rFonts w:hint="eastAsia" w:eastAsia="仿宋_GB2312" w:cs="Times New Roman"/>
          <w:sz w:val="32"/>
          <w:szCs w:val="32"/>
          <w:lang w:eastAsia="zh-CN"/>
        </w:rPr>
        <w:t>支那乡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实际情况，突出工作重点，弥补工作短板，全力推动</w:t>
      </w:r>
      <w:r>
        <w:rPr>
          <w:rFonts w:hint="eastAsia" w:eastAsia="仿宋_GB2312" w:cs="Times New Roman"/>
          <w:sz w:val="32"/>
          <w:szCs w:val="32"/>
          <w:lang w:eastAsia="zh-CN"/>
        </w:rPr>
        <w:t>支那乡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政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府信息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公开工作向纵深发展。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一是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要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充分认识政务公开工作的重要性。把政务公开工作作为一项长期性工作来抓，进一步强化履职意识、明确职责分工、健全工作机制，增强政务公开工作的积极性和主动性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强化信息公开的责任意识、大局意识、服务意识，确保政务信息公开工作及时、准确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、全面</w:t>
      </w:r>
      <w:r>
        <w:rPr>
          <w:rFonts w:hint="default" w:ascii="Times New Roman" w:hAnsi="Times New Roman" w:eastAsia="仿宋_GB2312" w:cs="Times New Roman"/>
          <w:sz w:val="32"/>
          <w:szCs w:val="32"/>
        </w:rPr>
        <w:t>。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2"/>
        </w:rPr>
        <w:t>二是</w:t>
      </w:r>
      <w:r>
        <w:rPr>
          <w:rFonts w:hint="default" w:ascii="Times New Roman" w:hAnsi="Times New Roman" w:eastAsia="仿宋_GB2312" w:cs="Times New Roman"/>
          <w:sz w:val="32"/>
          <w:szCs w:val="32"/>
        </w:rPr>
        <w:t>着力推进政务公开制度化规范化。加强对政务公开工作的领导，以政务公开定期报送工作制度为抓手，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保持信息公开业务人员长期稳定并定期培训，</w:t>
      </w:r>
      <w:r>
        <w:rPr>
          <w:rFonts w:hint="default" w:ascii="Times New Roman" w:hAnsi="Times New Roman" w:eastAsia="仿宋_GB2312" w:cs="Times New Roman"/>
          <w:sz w:val="32"/>
          <w:szCs w:val="32"/>
        </w:rPr>
        <w:t>持续提升政务公开工作水平。</w:t>
      </w:r>
      <w:r>
        <w:rPr>
          <w:rFonts w:hint="eastAsia" w:ascii="Times New Roman" w:hAnsi="Times New Roman" w:eastAsia="仿宋_GB2312" w:cs="Times New Roman"/>
          <w:b/>
          <w:bCs/>
          <w:sz w:val="32"/>
          <w:szCs w:val="32"/>
          <w:lang w:eastAsia="zh-CN"/>
        </w:rPr>
        <w:t>三是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加强政府信息公开平台宣传。发动全乡挂村领导、包组干部、村组干部、驻村工作队等对乡政府网站、魅力支那等信息公开平台的宣传，增大群众对政府信息公开平台了解，切实保障人民群众依法获取政府信息的权益。</w:t>
      </w:r>
    </w:p>
    <w:p>
      <w:pPr>
        <w:numPr>
          <w:ilvl w:val="0"/>
          <w:numId w:val="0"/>
        </w:numPr>
        <w:spacing w:line="560" w:lineRule="exact"/>
        <w:rPr>
          <w:rFonts w:hint="eastAsia" w:ascii="方正黑体_GBK" w:hAnsi="Times New Roman" w:eastAsia="方正黑体_GBK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方正黑体_GBK" w:hAnsi="Times New Roman" w:eastAsia="方正黑体_GBK"/>
          <w:sz w:val="32"/>
          <w:szCs w:val="32"/>
        </w:rPr>
      </w:pPr>
      <w:r>
        <w:rPr>
          <w:rFonts w:hint="eastAsia" w:ascii="方正黑体_GBK" w:hAnsi="Times New Roman" w:eastAsia="方正黑体_GBK"/>
          <w:sz w:val="32"/>
          <w:szCs w:val="32"/>
        </w:rPr>
        <w:t>六、其他需要报告的事项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textAlignment w:val="auto"/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无</w:t>
      </w: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>
      <w:pPr>
        <w:widowControl/>
        <w:shd w:val="clear" w:color="auto" w:fill="FFFFFF"/>
        <w:jc w:val="left"/>
        <w:rPr>
          <w:rFonts w:hint="eastAsia" w:ascii="微软雅黑" w:hAnsi="微软雅黑" w:eastAsia="微软雅黑" w:cs="微软雅黑"/>
          <w:color w:val="000000"/>
          <w:sz w:val="27"/>
          <w:szCs w:val="27"/>
        </w:rPr>
      </w:pPr>
    </w:p>
    <w:p>
      <w:pPr>
        <w:rPr>
          <w:rFonts w:hint="eastAsia"/>
          <w:sz w:val="22"/>
          <w:szCs w:val="22"/>
        </w:rPr>
      </w:pPr>
    </w:p>
    <w:p>
      <w:pPr>
        <w:rPr>
          <w:rFonts w:hint="eastAsia"/>
          <w:sz w:val="22"/>
          <w:szCs w:val="22"/>
        </w:rPr>
      </w:pPr>
    </w:p>
    <w:p>
      <w:pPr>
        <w:rPr>
          <w:rFonts w:hint="eastAsia"/>
          <w:sz w:val="22"/>
          <w:szCs w:val="22"/>
        </w:rPr>
      </w:pPr>
    </w:p>
    <w:p>
      <w:pPr>
        <w:rPr>
          <w:rFonts w:hint="eastAsia"/>
          <w:sz w:val="22"/>
          <w:szCs w:val="22"/>
        </w:rPr>
      </w:pPr>
    </w:p>
    <w:p>
      <w:pPr>
        <w:rPr>
          <w:rFonts w:hint="eastAsia"/>
          <w:sz w:val="22"/>
          <w:szCs w:val="22"/>
        </w:rPr>
      </w:pPr>
    </w:p>
    <w:p>
      <w:pPr>
        <w:rPr>
          <w:rFonts w:hint="eastAsia"/>
          <w:sz w:val="22"/>
          <w:szCs w:val="22"/>
        </w:rPr>
      </w:pPr>
    </w:p>
    <w:p/>
    <w:sectPr>
      <w:headerReference r:id="rId3" w:type="default"/>
      <w:footerReference r:id="rId4" w:type="default"/>
      <w:footerReference r:id="rId5" w:type="even"/>
      <w:pgSz w:w="11906" w:h="16838"/>
      <w:pgMar w:top="2098" w:right="1531" w:bottom="1984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ED2EED1-B7DD-4A80-9BA3-301F5033B1A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347B0BC-448F-4840-ABC6-344B7F2967A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B5EC734-7448-489E-AE2C-00C195C53D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C8B5AF8-9B01-4A5E-860C-F96F8B87B25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AFE05C8-0470-4E61-A72A-E97CA0E957D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EBDC6BF-5D63-4DB0-99A7-F4B51909DB2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8952D528-7302-404A-8CF2-692F632605AE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CA48F39-EF09-4BBE-889D-98E8E463B8AB}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  <w:embedRegular r:id="rId9" w:fontKey="{8DE2220E-6F79-4EDF-B9E1-41F870657A0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0" w:fontKey="{F84CC802-6A90-4350-8F98-4987FBBFD8A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1" w:fontKey="{5B2C9338-C6A6-463A-9349-86F4D8BADA9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w:pict>
        <v:shape id="文本框 1" o:spid="_x0000_s4097" o:spt="202" type="#_x0000_t202" style="position:absolute;left:0pt;margin-left:367.6pt;margin-top:-31.5pt;height:144pt;width:144p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Style w:val="7"/>
                    <w:rFonts w:hint="eastAsia" w:ascii="宋体" w:hAnsi="宋体"/>
                    <w:sz w:val="28"/>
                    <w:szCs w:val="28"/>
                  </w:rPr>
                </w:pPr>
                <w:r>
                  <w:rPr>
                    <w:rStyle w:val="7"/>
                    <w:rFonts w:hint="eastAsia" w:ascii="宋体" w:hAnsi="宋体"/>
                    <w:sz w:val="28"/>
                    <w:szCs w:val="28"/>
                  </w:rPr>
                  <w:t xml:space="preserve">—  </w:t>
                </w:r>
                <w:r>
                  <w:rPr>
                    <w:rFonts w:ascii="宋体" w:hAnsi="宋体"/>
                    <w:sz w:val="28"/>
                    <w:szCs w:val="28"/>
                  </w:rPr>
                  <w:fldChar w:fldCharType="begin"/>
                </w:r>
                <w:r>
                  <w:rPr>
                    <w:rStyle w:val="7"/>
                    <w:rFonts w:ascii="宋体" w:hAnsi="宋体"/>
                    <w:sz w:val="28"/>
                    <w:szCs w:val="28"/>
                  </w:rPr>
                  <w:instrText xml:space="preserve">PAGE  </w:instrText>
                </w:r>
                <w:r>
                  <w:rPr>
                    <w:rFonts w:ascii="宋体" w:hAnsi="宋体"/>
                    <w:sz w:val="28"/>
                    <w:szCs w:val="28"/>
                  </w:rPr>
                  <w:fldChar w:fldCharType="separate"/>
                </w:r>
                <w:r>
                  <w:rPr>
                    <w:rStyle w:val="7"/>
                    <w:rFonts w:ascii="宋体" w:hAnsi="宋体"/>
                    <w:sz w:val="28"/>
                    <w:szCs w:val="28"/>
                  </w:rPr>
                  <w:t>1</w:t>
                </w:r>
                <w:r>
                  <w:rPr>
                    <w:rFonts w:ascii="宋体" w:hAnsi="宋体"/>
                    <w:sz w:val="28"/>
                    <w:szCs w:val="28"/>
                  </w:rPr>
                  <w:fldChar w:fldCharType="end"/>
                </w:r>
                <w:r>
                  <w:rPr>
                    <w:rStyle w:val="7"/>
                    <w:rFonts w:hint="eastAsia" w:ascii="宋体" w:hAnsi="宋体"/>
                    <w:sz w:val="28"/>
                    <w:szCs w:val="28"/>
                  </w:rPr>
                  <w:t xml:space="preserve">  —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right="360" w:firstLine="360"/>
    </w:pPr>
    <w:r>
      <w:rPr>
        <w:sz w:val="18"/>
      </w:rPr>
      <w:pict>
        <v:shape id="文本框 2" o:spid="_x0000_s4098" o:spt="202" type="#_x0000_t202" style="position:absolute;left:0pt;margin-left:16.5pt;margin-top:-29.25pt;height:144pt;width:144pt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rPr>
                    <w:rStyle w:val="7"/>
                    <w:rFonts w:hint="eastAsia" w:ascii="宋体" w:hAnsi="宋体" w:eastAsia="宋体" w:cs="宋体"/>
                    <w:sz w:val="28"/>
                    <w:szCs w:val="28"/>
                  </w:rPr>
                </w:pPr>
                <w:r>
                  <w:rPr>
                    <w:rStyle w:val="7"/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—</w:t>
                </w:r>
                <w:r>
                  <w:rPr>
                    <w:rStyle w:val="7"/>
                    <w:rFonts w:hint="eastAsia" w:ascii="宋体" w:hAnsi="宋体" w:eastAsia="宋体" w:cs="宋体"/>
                    <w:sz w:val="28"/>
                    <w:szCs w:val="28"/>
                    <w:lang w:val="en-US" w:eastAsia="zh-CN"/>
                  </w:rPr>
                  <w:t xml:space="preserve">  </w: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begin"/>
                </w:r>
                <w:r>
                  <w:rPr>
                    <w:rStyle w:val="7"/>
                    <w:rFonts w:hint="eastAsia" w:ascii="宋体" w:hAnsi="宋体" w:eastAsia="宋体" w:cs="宋体"/>
                    <w:sz w:val="28"/>
                    <w:szCs w:val="28"/>
                  </w:rPr>
                  <w:instrText xml:space="preserve">PAGE  </w:instrText>
                </w:r>
                <w:r>
                  <w:rPr>
                    <w:rFonts w:hint="eastAsia" w:ascii="宋体" w:hAnsi="宋体" w:eastAsia="宋体" w:cs="宋体"/>
                    <w:sz w:val="28"/>
                    <w:szCs w:val="28"/>
                  </w:rPr>
                  <w:fldChar w:fldCharType="end"/>
                </w:r>
                <w:r>
                  <w:rPr>
                    <w:rStyle w:val="7"/>
                    <w:rFonts w:hint="eastAsia" w:ascii="宋体" w:hAnsi="宋体" w:eastAsia="宋体" w:cs="宋体"/>
                    <w:sz w:val="28"/>
                    <w:szCs w:val="28"/>
                    <w:lang w:val="en-US" w:eastAsia="zh-CN"/>
                  </w:rPr>
                  <w:t xml:space="preserve">  </w:t>
                </w:r>
                <w:r>
                  <w:rPr>
                    <w:rStyle w:val="7"/>
                    <w:rFonts w:hint="eastAsia" w:ascii="宋体" w:hAnsi="宋体" w:eastAsia="宋体" w:cs="宋体"/>
                    <w:sz w:val="28"/>
                    <w:szCs w:val="28"/>
                    <w:lang w:eastAsia="zh-CN"/>
                  </w:rPr>
                  <w:t>—</w:t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E32ADF"/>
    <w:multiLevelType w:val="singleLevel"/>
    <w:tmpl w:val="90E32AD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EAA"/>
    <w:rsid w:val="000D508A"/>
    <w:rsid w:val="0013750B"/>
    <w:rsid w:val="00217D1D"/>
    <w:rsid w:val="002942CC"/>
    <w:rsid w:val="002D1FF8"/>
    <w:rsid w:val="002E2408"/>
    <w:rsid w:val="002F158D"/>
    <w:rsid w:val="003B2FA0"/>
    <w:rsid w:val="0048631D"/>
    <w:rsid w:val="00500798"/>
    <w:rsid w:val="005100E0"/>
    <w:rsid w:val="005C570B"/>
    <w:rsid w:val="005F5E90"/>
    <w:rsid w:val="0062343E"/>
    <w:rsid w:val="006A0629"/>
    <w:rsid w:val="00815503"/>
    <w:rsid w:val="008A0A34"/>
    <w:rsid w:val="00A37C8C"/>
    <w:rsid w:val="00A646A6"/>
    <w:rsid w:val="00D1042D"/>
    <w:rsid w:val="00D11F31"/>
    <w:rsid w:val="00D202EB"/>
    <w:rsid w:val="00DC5809"/>
    <w:rsid w:val="00DD7A0D"/>
    <w:rsid w:val="00E15ACB"/>
    <w:rsid w:val="00EB027F"/>
    <w:rsid w:val="00EB0EAA"/>
    <w:rsid w:val="00EE3899"/>
    <w:rsid w:val="03D5088C"/>
    <w:rsid w:val="0A8E45CE"/>
    <w:rsid w:val="0C0325D7"/>
    <w:rsid w:val="0EAF3EDB"/>
    <w:rsid w:val="10230409"/>
    <w:rsid w:val="10E10729"/>
    <w:rsid w:val="15A24AE1"/>
    <w:rsid w:val="280A0959"/>
    <w:rsid w:val="28727761"/>
    <w:rsid w:val="28B07B74"/>
    <w:rsid w:val="3192791D"/>
    <w:rsid w:val="402F3767"/>
    <w:rsid w:val="432F7C31"/>
    <w:rsid w:val="46B046B2"/>
    <w:rsid w:val="475662FC"/>
    <w:rsid w:val="51723F01"/>
    <w:rsid w:val="57F3361B"/>
    <w:rsid w:val="57F81C76"/>
    <w:rsid w:val="5A9D2736"/>
    <w:rsid w:val="5C821BEC"/>
    <w:rsid w:val="630F0BB2"/>
    <w:rsid w:val="721A2A2D"/>
    <w:rsid w:val="733965BC"/>
    <w:rsid w:val="7A693EB1"/>
    <w:rsid w:val="7F151B3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page number"/>
    <w:basedOn w:val="6"/>
    <w:qFormat/>
    <w:uiPriority w:val="0"/>
    <w:rPr>
      <w:rFonts w:ascii="Times New Roman" w:hAnsi="Times New Roman" w:eastAsia="宋体" w:cs="Times New Roman"/>
    </w:rPr>
  </w:style>
  <w:style w:type="character" w:customStyle="1" w:styleId="8">
    <w:name w:val="页脚 Char"/>
    <w:basedOn w:val="6"/>
    <w:link w:val="2"/>
    <w:qFormat/>
    <w:uiPriority w:val="99"/>
    <w:rPr>
      <w:rFonts w:ascii="Calibri" w:hAnsi="Calibri" w:eastAsia="宋体" w:cs="Times New Roman"/>
      <w:sz w:val="1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  <customShpInfo spid="_x0000_s409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德宏州盈江县党政机关单位</Company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2021-01-21T02:26:00Z</dcterms:created>
  <dc:creator>Administrator</dc:creator>
  <cp:lastModifiedBy>帕成能</cp:lastModifiedBy>
  <dcterms:modified xsi:type="dcterms:W3CDTF">2024-03-21T03:56:48Z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KSOSaveFontToCloudKey">
    <vt:lpwstr>0_btnclosed</vt:lpwstr>
  </property>
  <property fmtid="{D5CDD505-2E9C-101B-9397-08002B2CF9AE}" pid="4" name="ICV">
    <vt:lpwstr>624FCE21D7A8402C8A23B5AD384B7C70</vt:lpwstr>
  </property>
</Properties>
</file>