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盈江县招商局2016年部门预算编制说明</w:t>
      </w:r>
    </w:p>
    <w:p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一、基本情况</w:t>
      </w:r>
    </w:p>
    <w:p>
      <w:pPr>
        <w:ind w:firstLine="320" w:firstLineChars="1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（一）单位主要职能</w:t>
      </w:r>
    </w:p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根据</w:t>
      </w:r>
      <w:r>
        <w:rPr>
          <w:rFonts w:hint="eastAsia" w:eastAsia="方正仿宋_GBK"/>
          <w:sz w:val="32"/>
          <w:szCs w:val="32"/>
          <w:u w:val="single"/>
        </w:rPr>
        <w:t>盈政发[2011]192号</w:t>
      </w:r>
      <w:r>
        <w:rPr>
          <w:rFonts w:hint="eastAsia" w:eastAsia="方正仿宋_GBK"/>
          <w:sz w:val="32"/>
          <w:szCs w:val="32"/>
        </w:rPr>
        <w:t>文件规定，主要职能是：</w:t>
      </w:r>
    </w:p>
    <w:p>
      <w:pPr>
        <w:ind w:firstLine="480" w:firstLineChars="1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（一）宣传贯彻落实国家、省、州、县有关招商引资、经济技术合作的法律、法规和方针、政策。负责拟定全县招商引资、经济术合作的政策、措施、管理办法趟。</w:t>
      </w:r>
    </w:p>
    <w:p>
      <w:pPr>
        <w:ind w:firstLine="480" w:firstLineChars="1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（二）会同有关部门拟订和实施盈江县招商引资、经济社会合作规划和中长期计划，汇总编报和下达年度指导性计划，并做好统计、绩效评价及考核奖励工作。</w:t>
      </w:r>
    </w:p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（三）协调、组织县直有关部门、各乡镇及重点行业、重点企业做好招商引资项目前期工作，建立和完善招商引资项目库，开展招商引资、经济社会合作及区域经济合作。承办县委</w:t>
      </w:r>
      <w:r>
        <w:rPr>
          <w:rFonts w:hint="eastAsia" w:eastAsia="方正仿宋_GBK"/>
          <w:sz w:val="32"/>
          <w:szCs w:val="32"/>
          <w:lang w:val="en-US" w:eastAsia="zh-CN"/>
        </w:rPr>
        <w:t>县</w:t>
      </w:r>
      <w:r>
        <w:rPr>
          <w:rFonts w:hint="eastAsia" w:eastAsia="方正仿宋_GBK"/>
          <w:sz w:val="32"/>
          <w:szCs w:val="32"/>
        </w:rPr>
        <w:t>政府决定的经济合作、招商引资推介活动，协调重大引资项目的考察、论证、审批、实施等工作。</w:t>
      </w:r>
      <w:bookmarkStart w:id="0" w:name="_GoBack"/>
      <w:bookmarkEnd w:id="0"/>
    </w:p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（四）综合协调有关部门运用法律、经济手段和行政措施，改善投资环境；做好外来投资企业的管理和服务工作；受理县外投资企业的投诉。</w:t>
      </w:r>
    </w:p>
    <w:p>
      <w:pPr>
        <w:ind w:firstLine="480" w:firstLineChars="1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（五）调查研究、收集信息，为县委、县政府提供招商引资、经济社会合作信息网络服务，负责全县招商引资网络建设，做好网上招商及相关的咨询服务工作。</w:t>
      </w:r>
    </w:p>
    <w:p>
      <w:pPr>
        <w:ind w:firstLine="160" w:firstLineChars="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（六）承办上级机关交办的其它事项</w:t>
      </w:r>
    </w:p>
    <w:p>
      <w:pPr>
        <w:ind w:firstLine="320" w:firstLineChars="100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（二）机构设置</w:t>
      </w:r>
    </w:p>
    <w:p>
      <w:pPr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盈江县</w:t>
      </w:r>
      <w:r>
        <w:rPr>
          <w:rFonts w:hint="eastAsia" w:eastAsia="方正仿宋_GBK"/>
          <w:sz w:val="32"/>
          <w:szCs w:val="32"/>
        </w:rPr>
        <w:t>招商合作</w:t>
      </w:r>
      <w:r>
        <w:rPr>
          <w:rFonts w:eastAsia="方正仿宋_GBK"/>
          <w:sz w:val="32"/>
          <w:szCs w:val="32"/>
        </w:rPr>
        <w:t>局内设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4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个职能科室，</w:t>
      </w:r>
      <w:r>
        <w:rPr>
          <w:rFonts w:hint="eastAsia" w:ascii="仿宋_GB2312" w:hAnsi="仿宋_GB2312" w:eastAsia="仿宋_GB2312"/>
          <w:kern w:val="0"/>
          <w:sz w:val="32"/>
          <w:szCs w:val="28"/>
        </w:rPr>
        <w:t>分别是办公室、业务股、企业服务股和法规股，</w:t>
      </w:r>
      <w:r>
        <w:rPr>
          <w:rFonts w:eastAsia="方正仿宋_GBK"/>
          <w:sz w:val="32"/>
          <w:szCs w:val="32"/>
        </w:rPr>
        <w:t>下辖×××等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个预算单位。</w:t>
      </w:r>
    </w:p>
    <w:p>
      <w:pPr>
        <w:ind w:firstLine="320" w:firstLineChars="100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（三）人员构成</w:t>
      </w:r>
    </w:p>
    <w:p>
      <w:pPr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盈江县</w:t>
      </w:r>
      <w:r>
        <w:rPr>
          <w:rFonts w:hint="eastAsia" w:eastAsia="方正仿宋_GBK"/>
          <w:sz w:val="32"/>
          <w:szCs w:val="32"/>
        </w:rPr>
        <w:t>招商合作</w:t>
      </w:r>
      <w:r>
        <w:rPr>
          <w:rFonts w:eastAsia="方正仿宋_GBK"/>
          <w:sz w:val="32"/>
          <w:szCs w:val="32"/>
        </w:rPr>
        <w:t>局人员编制共计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名，其中行政（含参公管理）编制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名，事业编制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8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名，工勤编制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1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名。</w:t>
      </w:r>
    </w:p>
    <w:p>
      <w:pPr>
        <w:ind w:firstLine="800" w:firstLineChars="2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2015年末参加工资统发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人，包括在职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人，离休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人，退休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人。定额补助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人，其中遗属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人，其他</w:t>
      </w:r>
      <w:r>
        <w:rPr>
          <w:rFonts w:hint="eastAsia" w:eastAsia="方正仿宋_GBK"/>
          <w:sz w:val="32"/>
          <w:szCs w:val="32"/>
          <w:u w:val="single"/>
        </w:rPr>
        <w:t xml:space="preserve">              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sz w:val="32"/>
          <w:szCs w:val="32"/>
        </w:rPr>
        <w:t xml:space="preserve">           </w:t>
      </w:r>
      <w:r>
        <w:rPr>
          <w:rFonts w:hint="eastAsia" w:eastAsia="方正仿宋_GBK"/>
          <w:sz w:val="32"/>
          <w:szCs w:val="32"/>
          <w:u w:val="single"/>
        </w:rPr>
        <w:t xml:space="preserve">0 </w:t>
      </w:r>
      <w:r>
        <w:rPr>
          <w:rFonts w:eastAsia="方正仿宋_GBK"/>
          <w:sz w:val="32"/>
          <w:szCs w:val="32"/>
        </w:rPr>
        <w:t>人</w:t>
      </w:r>
      <w:r>
        <w:rPr>
          <w:rFonts w:hint="eastAsia" w:eastAsia="方正仿宋_GBK"/>
          <w:sz w:val="32"/>
          <w:szCs w:val="32"/>
        </w:rPr>
        <w:t>。</w:t>
      </w:r>
    </w:p>
    <w:p>
      <w:pPr>
        <w:ind w:firstLine="160" w:firstLineChars="50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（四）车辆构成</w:t>
      </w:r>
    </w:p>
    <w:p>
      <w:pPr>
        <w:ind w:firstLine="800" w:firstLineChars="2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盈江县</w:t>
      </w:r>
      <w:r>
        <w:rPr>
          <w:rFonts w:hint="eastAsia" w:eastAsia="方正仿宋_GBK"/>
          <w:sz w:val="32"/>
          <w:szCs w:val="32"/>
        </w:rPr>
        <w:t>招商合作</w:t>
      </w:r>
      <w:r>
        <w:rPr>
          <w:rFonts w:eastAsia="方正仿宋_GBK"/>
          <w:sz w:val="32"/>
          <w:szCs w:val="32"/>
        </w:rPr>
        <w:t>局车辆编制共计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2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辆，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末实有车辆</w:t>
      </w:r>
      <w:r>
        <w:rPr>
          <w:rFonts w:hint="eastAsia" w:eastAsia="方正仿宋_GBK"/>
          <w:sz w:val="32"/>
          <w:szCs w:val="32"/>
        </w:rPr>
        <w:t>共</w:t>
      </w:r>
      <w:r>
        <w:rPr>
          <w:rFonts w:eastAsia="方正仿宋_GBK"/>
          <w:sz w:val="32"/>
          <w:szCs w:val="32"/>
        </w:rPr>
        <w:t>计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2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辆，其中公务用车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2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辆，特殊业务用车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辆。</w:t>
      </w:r>
    </w:p>
    <w:p>
      <w:pPr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二、2016年主要工作任务</w:t>
      </w:r>
    </w:p>
    <w:p>
      <w:pPr>
        <w:ind w:firstLine="480" w:firstLineChars="150"/>
        <w:rPr>
          <w:rFonts w:hint="eastAsia" w:eastAsia="方正仿宋_GBK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</w:rPr>
        <w:t>一）、兑现全县2015年各责任单位招商引资年度目标责任奖。（依据盈办发[2015]10号文）</w:t>
      </w:r>
    </w:p>
    <w:p>
      <w:pPr>
        <w:spacing w:line="720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（二）、根据《德宏州人民政府办公室关于开展驻点招商</w:t>
      </w:r>
    </w:p>
    <w:p>
      <w:pPr>
        <w:spacing w:line="72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工作的通知》（147号）要求，为全力打好“基础设施、招商引资、项目落地”三大攻坚战，县委、县政府拟定，组建4个招商工作组到沿海等经济发达地区驻点招商。</w:t>
      </w:r>
    </w:p>
    <w:p>
      <w:pPr>
        <w:spacing w:line="360" w:lineRule="auto"/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（三）、按时保质的完成2016年州下达我县招商引资目标任务数54亿和下达38家责任单位招商引资目标任务数55亿及制作一系列相关的招商引资宣传册和宣传片。</w:t>
      </w:r>
    </w:p>
    <w:p>
      <w:pPr>
        <w:ind w:firstLine="627" w:firstLineChars="196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三、收支预算说明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2016年收入预算总额为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57.29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万元，其中：财政拨款（补助）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57.29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万元。</w:t>
      </w:r>
    </w:p>
    <w:p>
      <w:pPr>
        <w:spacing w:line="580" w:lineRule="atLeas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2016年支出预算总额为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57.29</w:t>
      </w:r>
      <w:r>
        <w:rPr>
          <w:rFonts w:eastAsia="方正仿宋_GBK"/>
          <w:sz w:val="32"/>
          <w:szCs w:val="32"/>
        </w:rPr>
        <w:t>万元，其中：财政拨款（补助）安排的支出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57.29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万元，（其中：基本支出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57.29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万元。主要是在职人员经费、公用经费、离退休人员经费等。项目支出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0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万元。主要项目是×××等）。</w:t>
      </w:r>
    </w:p>
    <w:p>
      <w:pPr>
        <w:spacing w:line="580" w:lineRule="atLeas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四、其他需要说明的问题</w:t>
      </w:r>
    </w:p>
    <w:p>
      <w:pPr>
        <w:spacing w:line="580" w:lineRule="atLeas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spacing w:line="580" w:lineRule="atLeas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spacing w:line="580" w:lineRule="atLeast"/>
        <w:ind w:firstLine="640" w:firstLineChars="200"/>
        <w:rPr>
          <w:rFonts w:hint="eastAsia" w:ascii="方正黑体_GBK" w:eastAsia="方正黑体_GBK"/>
          <w:sz w:val="32"/>
          <w:szCs w:val="32"/>
        </w:rPr>
      </w:pPr>
    </w:p>
    <w:p>
      <w:pPr>
        <w:spacing w:line="580" w:lineRule="atLeast"/>
        <w:ind w:firstLine="640" w:firstLineChars="200"/>
        <w:jc w:val="righ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盈江县招商合作局</w:t>
      </w:r>
    </w:p>
    <w:p>
      <w:pPr>
        <w:spacing w:line="580" w:lineRule="atLeast"/>
        <w:ind w:firstLine="640" w:firstLineChars="200"/>
        <w:jc w:val="righ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2016年4月15日</w:t>
      </w:r>
    </w:p>
    <w:p>
      <w:pPr>
        <w:rPr>
          <w:rFonts w:eastAsia="方正仿宋_GBK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3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41"/>
    <w:rsid w:val="000644C8"/>
    <w:rsid w:val="00066425"/>
    <w:rsid w:val="000729CE"/>
    <w:rsid w:val="00080C52"/>
    <w:rsid w:val="000900F1"/>
    <w:rsid w:val="000B2E43"/>
    <w:rsid w:val="000B438C"/>
    <w:rsid w:val="000C5385"/>
    <w:rsid w:val="000D1B54"/>
    <w:rsid w:val="000D2C7C"/>
    <w:rsid w:val="001241A9"/>
    <w:rsid w:val="00164B9C"/>
    <w:rsid w:val="001A7CC6"/>
    <w:rsid w:val="001D2C20"/>
    <w:rsid w:val="00217B58"/>
    <w:rsid w:val="00284166"/>
    <w:rsid w:val="002942B2"/>
    <w:rsid w:val="002F2C63"/>
    <w:rsid w:val="003A4D41"/>
    <w:rsid w:val="003B5FCE"/>
    <w:rsid w:val="00432B41"/>
    <w:rsid w:val="004538A3"/>
    <w:rsid w:val="00481FBC"/>
    <w:rsid w:val="004A4581"/>
    <w:rsid w:val="00516FA2"/>
    <w:rsid w:val="005250D1"/>
    <w:rsid w:val="00532B6E"/>
    <w:rsid w:val="00560739"/>
    <w:rsid w:val="005B65BB"/>
    <w:rsid w:val="005C55A4"/>
    <w:rsid w:val="005D5D4E"/>
    <w:rsid w:val="005D715A"/>
    <w:rsid w:val="006A4A7C"/>
    <w:rsid w:val="007513B8"/>
    <w:rsid w:val="007D1200"/>
    <w:rsid w:val="008E483E"/>
    <w:rsid w:val="00941535"/>
    <w:rsid w:val="009D29EE"/>
    <w:rsid w:val="00A6300C"/>
    <w:rsid w:val="00A73A51"/>
    <w:rsid w:val="00A81449"/>
    <w:rsid w:val="00AD186D"/>
    <w:rsid w:val="00B63EC9"/>
    <w:rsid w:val="00B80D70"/>
    <w:rsid w:val="00B93A51"/>
    <w:rsid w:val="00B9749E"/>
    <w:rsid w:val="00BC37F4"/>
    <w:rsid w:val="00BC6706"/>
    <w:rsid w:val="00BE7124"/>
    <w:rsid w:val="00C05F69"/>
    <w:rsid w:val="00C42B1E"/>
    <w:rsid w:val="00C43898"/>
    <w:rsid w:val="00C54690"/>
    <w:rsid w:val="00CA28A0"/>
    <w:rsid w:val="00D555BC"/>
    <w:rsid w:val="00D64FFC"/>
    <w:rsid w:val="00DF7D9D"/>
    <w:rsid w:val="00E05B38"/>
    <w:rsid w:val="00E167F8"/>
    <w:rsid w:val="00E221E2"/>
    <w:rsid w:val="00E37761"/>
    <w:rsid w:val="00E43F0B"/>
    <w:rsid w:val="00E50C9C"/>
    <w:rsid w:val="00E80810"/>
    <w:rsid w:val="00EC3896"/>
    <w:rsid w:val="00ED021A"/>
    <w:rsid w:val="00F6046A"/>
    <w:rsid w:val="00F6739E"/>
    <w:rsid w:val="00FB221F"/>
    <w:rsid w:val="00FE0BFC"/>
    <w:rsid w:val="03C14E45"/>
    <w:rsid w:val="32A17917"/>
    <w:rsid w:val="60A77C4C"/>
    <w:rsid w:val="6D2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2024-03-21T02:26:00Z</dcterms:created>
  <dc:creator>Administrator</dc:creator>
  <cp:lastModifiedBy>Administrator</cp:lastModifiedBy>
  <dcterms:modified xsi:type="dcterms:W3CDTF">2024-03-21T02:29:37Z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